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A52E" w14:textId="76DCCDED" w:rsidR="002721D2" w:rsidRDefault="00E7541F" w:rsidP="00AF7418">
      <w:pPr>
        <w:spacing w:before="200" w:after="240" w:line="264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НАЗВА </w:t>
      </w:r>
    </w:p>
    <w:p w14:paraId="615F36B7" w14:textId="5B03831D" w:rsidR="00C30E58" w:rsidRDefault="00E7541F" w:rsidP="00AF7418">
      <w:pPr>
        <w:spacing w:after="0" w:line="264" w:lineRule="auto"/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Прізвище І. Б.</w:t>
      </w:r>
      <w:r w:rsidR="00C30E58"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>науковий ступінь, вчене звання</w:t>
      </w:r>
      <w:r w:rsidR="00C30E58">
        <w:rPr>
          <w:rFonts w:ascii="Arial" w:hAnsi="Arial" w:cs="Arial"/>
          <w:sz w:val="20"/>
          <w:szCs w:val="20"/>
          <w:lang w:val="uk-UA"/>
        </w:rPr>
        <w:t>,</w:t>
      </w:r>
    </w:p>
    <w:p w14:paraId="20342EB1" w14:textId="634368E1" w:rsidR="006D275E" w:rsidRPr="00C30E58" w:rsidRDefault="00E7541F" w:rsidP="00AF7418">
      <w:pPr>
        <w:spacing w:after="0" w:line="264" w:lineRule="auto"/>
        <w:jc w:val="center"/>
        <w:rPr>
          <w:rFonts w:ascii="Arial" w:hAnsi="Arial" w:cs="Arial"/>
          <w:spacing w:val="-2"/>
          <w:sz w:val="20"/>
          <w:szCs w:val="20"/>
          <w:lang w:val="uk-UA"/>
        </w:rPr>
      </w:pPr>
      <w:r>
        <w:rPr>
          <w:rFonts w:ascii="Arial" w:hAnsi="Arial" w:cs="Arial"/>
          <w:spacing w:val="-2"/>
          <w:sz w:val="20"/>
          <w:szCs w:val="20"/>
          <w:lang w:val="uk-UA"/>
        </w:rPr>
        <w:t>Повна назва установи</w:t>
      </w:r>
    </w:p>
    <w:p w14:paraId="7F976C1A" w14:textId="7BAF01E8" w:rsidR="006D275E" w:rsidRPr="00E7541F" w:rsidRDefault="00E7541F" w:rsidP="00AF7418">
      <w:pPr>
        <w:spacing w:after="0" w:line="264" w:lineRule="auto"/>
        <w:jc w:val="center"/>
        <w:rPr>
          <w:rStyle w:val="a4"/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електрона пошта</w:t>
      </w:r>
    </w:p>
    <w:p w14:paraId="3F1C22A8" w14:textId="77777777" w:rsidR="00C30E58" w:rsidRPr="00ED5AF1" w:rsidRDefault="00C30E58" w:rsidP="00AF7418">
      <w:pPr>
        <w:spacing w:after="0" w:line="264" w:lineRule="auto"/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77ECE930" w14:textId="205B41D2" w:rsidR="00E7541F" w:rsidRDefault="00E7541F" w:rsidP="00AF7418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Текст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18E324" w14:textId="77777777" w:rsidR="00E7541F" w:rsidRDefault="00E7541F" w:rsidP="00AF7418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Текст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текст.посилання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[1, </w:t>
      </w:r>
      <w:r>
        <w:rPr>
          <w:rFonts w:ascii="Arial" w:hAnsi="Arial" w:cs="Arial"/>
          <w:sz w:val="20"/>
          <w:szCs w:val="20"/>
        </w:rPr>
        <w:t>с. 10 – 15</w:t>
      </w:r>
      <w:r>
        <w:rPr>
          <w:rFonts w:ascii="Arial" w:hAnsi="Arial" w:cs="Arial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EE7F12D" w14:textId="055DC693" w:rsidR="00E7541F" w:rsidRDefault="00E7541F" w:rsidP="00AF7418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  <w:r w:rsidRPr="00E7541F">
        <w:rPr>
          <w:rFonts w:ascii="Arial" w:hAnsi="Arial" w:cs="Arial"/>
          <w:sz w:val="20"/>
          <w:szCs w:val="20"/>
        </w:rPr>
        <w:t>Таблиці необхідно подавати безпосередньо після тексту, де вони згадані</w:t>
      </w:r>
      <w:r>
        <w:rPr>
          <w:rFonts w:ascii="Arial" w:hAnsi="Arial" w:cs="Arial"/>
          <w:sz w:val="20"/>
          <w:szCs w:val="20"/>
        </w:rPr>
        <w:t xml:space="preserve"> (табл. 1).</w:t>
      </w:r>
    </w:p>
    <w:p w14:paraId="53B8329C" w14:textId="7997A8A6" w:rsidR="00E7541F" w:rsidRPr="00E7541F" w:rsidRDefault="00E7541F" w:rsidP="00AF7418">
      <w:pPr>
        <w:pStyle w:val="Normal1"/>
        <w:widowControl w:val="0"/>
        <w:spacing w:line="264" w:lineRule="auto"/>
        <w:ind w:firstLine="567"/>
        <w:jc w:val="right"/>
        <w:rPr>
          <w:rFonts w:ascii="Arial" w:hAnsi="Arial" w:cs="Arial"/>
          <w:color w:val="auto"/>
        </w:rPr>
      </w:pPr>
      <w:r w:rsidRPr="00E7541F">
        <w:rPr>
          <w:rFonts w:ascii="Arial" w:hAnsi="Arial" w:cs="Arial"/>
          <w:color w:val="auto"/>
        </w:rPr>
        <w:t xml:space="preserve">Таблиця </w:t>
      </w:r>
      <w:r>
        <w:rPr>
          <w:rFonts w:ascii="Arial" w:hAnsi="Arial" w:cs="Arial"/>
          <w:color w:val="auto"/>
        </w:rPr>
        <w:t>1</w:t>
      </w:r>
    </w:p>
    <w:p w14:paraId="5C7A79B7" w14:textId="43FC1655" w:rsidR="00E7541F" w:rsidRPr="00E7541F" w:rsidRDefault="00E7541F" w:rsidP="00AF7418">
      <w:pPr>
        <w:pStyle w:val="Normal1"/>
        <w:widowControl w:val="0"/>
        <w:spacing w:line="264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Назва таблиці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42"/>
        <w:gridCol w:w="6686"/>
      </w:tblGrid>
      <w:tr w:rsidR="00E7541F" w:rsidRPr="00E7541F" w14:paraId="646D338A" w14:textId="77777777" w:rsidTr="00E7541F">
        <w:trPr>
          <w:trHeight w:val="378"/>
        </w:trPr>
        <w:tc>
          <w:tcPr>
            <w:tcW w:w="1528" w:type="pct"/>
          </w:tcPr>
          <w:p w14:paraId="619C42A9" w14:textId="1728C734" w:rsidR="00E7541F" w:rsidRPr="00E7541F" w:rsidRDefault="00E7541F" w:rsidP="00AF7418">
            <w:pPr>
              <w:pStyle w:val="Normal1"/>
              <w:widowControl w:val="0"/>
              <w:spacing w:line="264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Назва стовбця </w:t>
            </w:r>
          </w:p>
        </w:tc>
        <w:tc>
          <w:tcPr>
            <w:tcW w:w="3472" w:type="pct"/>
          </w:tcPr>
          <w:p w14:paraId="42B63DCA" w14:textId="098006FF" w:rsidR="00E7541F" w:rsidRPr="00E7541F" w:rsidRDefault="00E7541F" w:rsidP="00AF7418">
            <w:pPr>
              <w:pStyle w:val="Normal1"/>
              <w:widowControl w:val="0"/>
              <w:spacing w:line="264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Назва стовбця</w:t>
            </w:r>
          </w:p>
        </w:tc>
      </w:tr>
      <w:tr w:rsidR="00E7541F" w:rsidRPr="00E7541F" w14:paraId="20D0020C" w14:textId="77777777" w:rsidTr="00E7541F">
        <w:trPr>
          <w:trHeight w:val="1120"/>
        </w:trPr>
        <w:tc>
          <w:tcPr>
            <w:tcW w:w="1528" w:type="pct"/>
          </w:tcPr>
          <w:p w14:paraId="79912CCD" w14:textId="7DD1E952" w:rsidR="00E7541F" w:rsidRPr="00E7541F" w:rsidRDefault="00E7541F" w:rsidP="00AF7418">
            <w:pPr>
              <w:pStyle w:val="Normal1"/>
              <w:widowControl w:val="0"/>
              <w:spacing w:line="264" w:lineRule="auto"/>
              <w:ind w:left="113" w:right="113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Текст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</w:p>
        </w:tc>
        <w:tc>
          <w:tcPr>
            <w:tcW w:w="3472" w:type="pct"/>
          </w:tcPr>
          <w:p w14:paraId="046B3B56" w14:textId="28920095" w:rsidR="00E7541F" w:rsidRPr="00E7541F" w:rsidRDefault="00E7541F" w:rsidP="00AF7418">
            <w:pPr>
              <w:pStyle w:val="Normal1"/>
              <w:widowControl w:val="0"/>
              <w:spacing w:line="264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Текст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</w:t>
            </w:r>
            <w:proofErr w:type="spellEnd"/>
          </w:p>
        </w:tc>
      </w:tr>
    </w:tbl>
    <w:p w14:paraId="63FBF378" w14:textId="216D1913" w:rsidR="00E7541F" w:rsidRDefault="00E7541F" w:rsidP="00AF7418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  <w:r w:rsidRPr="00E7541F">
        <w:rPr>
          <w:rFonts w:ascii="Arial" w:hAnsi="Arial" w:cs="Arial"/>
          <w:i/>
          <w:iCs/>
          <w:sz w:val="20"/>
          <w:szCs w:val="20"/>
        </w:rPr>
        <w:t>*) Складено (або розраховано) за [посилання на джерело]</w:t>
      </w:r>
    </w:p>
    <w:p w14:paraId="5744283B" w14:textId="5CC210A1" w:rsidR="00E7541F" w:rsidRDefault="00E7541F" w:rsidP="00AF7418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</w:p>
    <w:p w14:paraId="219E5269" w14:textId="77777777" w:rsidR="00406D7B" w:rsidRDefault="00E7541F" w:rsidP="00406D7B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  <w:r w:rsidRPr="00E7541F">
        <w:rPr>
          <w:rFonts w:ascii="Arial" w:hAnsi="Arial" w:cs="Arial"/>
          <w:sz w:val="20"/>
          <w:szCs w:val="20"/>
        </w:rPr>
        <w:t>Графічний матеріал – рисунки, схеми, діаграми тощо – застосовують для детального встановлення властивостей або характе</w:t>
      </w:r>
      <w:bookmarkStart w:id="0" w:name="_GoBack"/>
      <w:bookmarkEnd w:id="0"/>
      <w:r w:rsidRPr="00E7541F">
        <w:rPr>
          <w:rFonts w:ascii="Arial" w:hAnsi="Arial" w:cs="Arial"/>
          <w:sz w:val="20"/>
          <w:szCs w:val="20"/>
        </w:rPr>
        <w:t>ристик предмета дослідження роботи.</w:t>
      </w:r>
      <w:r>
        <w:rPr>
          <w:rFonts w:ascii="Arial" w:hAnsi="Arial" w:cs="Arial"/>
          <w:sz w:val="20"/>
          <w:szCs w:val="20"/>
        </w:rPr>
        <w:t xml:space="preserve"> </w:t>
      </w:r>
      <w:r w:rsidRPr="00E7541F">
        <w:rPr>
          <w:rFonts w:ascii="Arial" w:hAnsi="Arial" w:cs="Arial"/>
          <w:sz w:val="20"/>
          <w:szCs w:val="20"/>
        </w:rPr>
        <w:t>Графічний матеріал розміщується безпосередньо після першого посилання на нього</w:t>
      </w:r>
      <w:r>
        <w:rPr>
          <w:rFonts w:ascii="Arial" w:hAnsi="Arial" w:cs="Arial"/>
          <w:sz w:val="20"/>
          <w:szCs w:val="20"/>
        </w:rPr>
        <w:t xml:space="preserve"> (рис. 1).</w:t>
      </w:r>
      <w:r w:rsidR="00406D7B">
        <w:rPr>
          <w:rFonts w:ascii="Arial" w:hAnsi="Arial" w:cs="Arial"/>
          <w:sz w:val="20"/>
          <w:szCs w:val="20"/>
        </w:rPr>
        <w:t xml:space="preserve"> </w:t>
      </w:r>
      <w:r w:rsidR="00406D7B">
        <w:rPr>
          <w:rFonts w:ascii="Arial" w:hAnsi="Arial" w:cs="Arial"/>
          <w:sz w:val="20"/>
          <w:szCs w:val="20"/>
        </w:rPr>
        <w:t>Рисунки повинні бути згруповані та виконані у чорно-білому форматі.</w:t>
      </w:r>
    </w:p>
    <w:p w14:paraId="1C04D352" w14:textId="51CC3C51" w:rsidR="00E7541F" w:rsidRDefault="00E7541F" w:rsidP="00AF7418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</w:p>
    <w:p w14:paraId="78673960" w14:textId="0E14CFD9" w:rsidR="00E7541F" w:rsidRPr="00E7541F" w:rsidRDefault="00E7541F" w:rsidP="00AF7418">
      <w:pPr>
        <w:pStyle w:val="a5"/>
        <w:spacing w:line="264" w:lineRule="auto"/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049344" wp14:editId="2BFFBFC4">
            <wp:extent cx="2522220" cy="1440180"/>
            <wp:effectExtent l="0" t="0" r="0" b="7620"/>
            <wp:docPr id="2" name="Рисунок 2" descr="Результат пошуку зображень за запитом &quot;попит та пропози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&quot;попит та пропозиці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06BC" w14:textId="0B168200" w:rsidR="00BF5671" w:rsidRDefault="00BF5671" w:rsidP="00AF7418">
      <w:pPr>
        <w:spacing w:before="200" w:after="0" w:line="264" w:lineRule="auto"/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Рис. 1. Крива попиту</w:t>
      </w:r>
    </w:p>
    <w:p w14:paraId="4C3624FF" w14:textId="48C2C26D" w:rsidR="00BF5671" w:rsidRDefault="00BF5671" w:rsidP="00AF7418">
      <w:pPr>
        <w:pStyle w:val="a5"/>
        <w:spacing w:line="264" w:lineRule="auto"/>
        <w:ind w:firstLine="284"/>
        <w:rPr>
          <w:rFonts w:ascii="Arial" w:hAnsi="Arial" w:cs="Arial"/>
          <w:i/>
          <w:iCs/>
          <w:sz w:val="20"/>
          <w:szCs w:val="20"/>
        </w:rPr>
      </w:pPr>
      <w:r w:rsidRPr="00E7541F">
        <w:rPr>
          <w:rFonts w:ascii="Arial" w:hAnsi="Arial" w:cs="Arial"/>
          <w:i/>
          <w:iCs/>
          <w:sz w:val="20"/>
          <w:szCs w:val="20"/>
        </w:rPr>
        <w:t xml:space="preserve">*) Складено (або </w:t>
      </w:r>
      <w:r>
        <w:rPr>
          <w:rFonts w:ascii="Arial" w:hAnsi="Arial" w:cs="Arial"/>
          <w:i/>
          <w:iCs/>
          <w:sz w:val="20"/>
          <w:szCs w:val="20"/>
        </w:rPr>
        <w:t>побудовано</w:t>
      </w:r>
      <w:r w:rsidRPr="00E7541F">
        <w:rPr>
          <w:rFonts w:ascii="Arial" w:hAnsi="Arial" w:cs="Arial"/>
          <w:i/>
          <w:iCs/>
          <w:sz w:val="20"/>
          <w:szCs w:val="20"/>
        </w:rPr>
        <w:t>) за [посилання на джерело]</w:t>
      </w:r>
    </w:p>
    <w:p w14:paraId="72A9B606" w14:textId="77777777" w:rsidR="00BF5671" w:rsidRDefault="00BF5671" w:rsidP="00AF7418">
      <w:pPr>
        <w:pStyle w:val="a5"/>
        <w:spacing w:line="264" w:lineRule="auto"/>
        <w:ind w:firstLine="284"/>
        <w:rPr>
          <w:rFonts w:ascii="Arial" w:hAnsi="Arial" w:cs="Arial"/>
          <w:sz w:val="20"/>
          <w:szCs w:val="20"/>
        </w:rPr>
      </w:pPr>
    </w:p>
    <w:p w14:paraId="7985E9F3" w14:textId="7933E0CF" w:rsid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BF5671">
        <w:rPr>
          <w:rFonts w:ascii="Arial" w:hAnsi="Arial" w:cs="Arial"/>
          <w:sz w:val="20"/>
          <w:szCs w:val="20"/>
          <w:lang w:val="uk-UA"/>
        </w:rPr>
        <w:t>При використанні формул необхідно дотримуватися певних правил.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Найбільші, а також довгі </w:t>
      </w:r>
      <w:r w:rsidR="00A57D1B">
        <w:rPr>
          <w:rFonts w:ascii="Arial" w:hAnsi="Arial" w:cs="Arial"/>
          <w:sz w:val="20"/>
          <w:szCs w:val="20"/>
          <w:lang w:val="uk-UA"/>
        </w:rPr>
        <w:t>та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 громіздкі формули, котрі мають у складі знаки суми, добутку, диференціювання, інтегрування, розміщують на окремих рядках. Для економії місця кілька коротких однотипних формул, відокремлених від тексту, можна подати в одному рядку, а не одну під одною. Невеликі і нескладні формули, що не мають самостійного значення, вписують всередині рядків тексту.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BF5671">
        <w:rPr>
          <w:rFonts w:ascii="Arial" w:hAnsi="Arial" w:cs="Arial"/>
          <w:sz w:val="20"/>
          <w:szCs w:val="20"/>
          <w:lang w:val="uk-UA"/>
        </w:rPr>
        <w:t>Пояснення значень символів і числових коефіцієнтів треба подавати безпосередньо під формулою в тій послідовності, в якій вони наведені у формулі. Значення кожного символ</w:t>
      </w:r>
      <w:r>
        <w:rPr>
          <w:rFonts w:ascii="Arial" w:hAnsi="Arial" w:cs="Arial"/>
          <w:sz w:val="20"/>
          <w:szCs w:val="20"/>
          <w:lang w:val="uk-UA"/>
        </w:rPr>
        <w:t>у та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 числового коефіцієнта треба подавати з нового рядка. Перший рядок пояснення починають зі слова «де» без двокрапки</w:t>
      </w:r>
      <w:r w:rsidR="000A0AB5">
        <w:rPr>
          <w:rFonts w:ascii="Arial" w:hAnsi="Arial" w:cs="Arial"/>
          <w:sz w:val="20"/>
          <w:szCs w:val="20"/>
          <w:lang w:val="uk-UA"/>
        </w:rPr>
        <w:t xml:space="preserve"> (див. формулу (1))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14:paraId="17E7C398" w14:textId="77777777" w:rsid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</w:p>
    <w:p w14:paraId="5D129B16" w14:textId="173D29CF" w:rsid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i/>
          <w:sz w:val="20"/>
          <w:szCs w:val="20"/>
          <w:lang w:val="uk-UA"/>
        </w:rPr>
      </w:pPr>
      <w:r>
        <w:rPr>
          <w:rFonts w:ascii="Arial" w:hAnsi="Arial" w:cs="Arial"/>
          <w:i/>
          <w:sz w:val="20"/>
          <w:szCs w:val="20"/>
          <w:lang w:val="uk-UA"/>
        </w:rPr>
        <w:t xml:space="preserve">                                                                      А</w:t>
      </w:r>
      <w:r w:rsidRPr="00BF5671">
        <w:rPr>
          <w:rFonts w:ascii="Arial" w:hAnsi="Arial" w:cs="Arial"/>
          <w:i/>
          <w:sz w:val="20"/>
          <w:szCs w:val="20"/>
          <w:lang w:val="uk-UA"/>
        </w:rPr>
        <w:t xml:space="preserve"> = </w:t>
      </w:r>
      <w:r>
        <w:rPr>
          <w:rFonts w:ascii="Arial" w:hAnsi="Arial" w:cs="Arial"/>
          <w:i/>
          <w:sz w:val="20"/>
          <w:szCs w:val="20"/>
          <w:lang w:val="uk-UA"/>
        </w:rPr>
        <w:t>Б</w:t>
      </w:r>
      <w:r w:rsidRPr="00BF5671">
        <w:rPr>
          <w:rFonts w:ascii="Arial" w:hAnsi="Arial" w:cs="Arial"/>
          <w:i/>
          <w:sz w:val="20"/>
          <w:szCs w:val="20"/>
          <w:lang w:val="uk-UA"/>
        </w:rPr>
        <w:t xml:space="preserve"> + </w:t>
      </w:r>
      <w:r>
        <w:rPr>
          <w:rFonts w:ascii="Arial" w:hAnsi="Arial" w:cs="Arial"/>
          <w:i/>
          <w:sz w:val="20"/>
          <w:szCs w:val="20"/>
          <w:lang w:val="uk-UA"/>
        </w:rPr>
        <w:t>В</w:t>
      </w:r>
      <w:r w:rsidRPr="00BF5671">
        <w:rPr>
          <w:rFonts w:ascii="Arial" w:hAnsi="Arial" w:cs="Arial"/>
          <w:i/>
          <w:sz w:val="20"/>
          <w:szCs w:val="20"/>
          <w:lang w:val="uk-UA"/>
        </w:rPr>
        <w:t xml:space="preserve"> + </w:t>
      </w:r>
      <w:r>
        <w:rPr>
          <w:rFonts w:ascii="Arial" w:hAnsi="Arial" w:cs="Arial"/>
          <w:i/>
          <w:sz w:val="20"/>
          <w:szCs w:val="20"/>
          <w:lang w:val="uk-UA"/>
        </w:rPr>
        <w:t>Г</w:t>
      </w:r>
      <w:r w:rsidRPr="00BF5671">
        <w:rPr>
          <w:rFonts w:ascii="Arial" w:hAnsi="Arial" w:cs="Arial"/>
          <w:i/>
          <w:sz w:val="20"/>
          <w:szCs w:val="20"/>
          <w:lang w:val="uk-UA"/>
        </w:rPr>
        <w:t>,</w:t>
      </w:r>
      <w:r>
        <w:rPr>
          <w:rFonts w:ascii="Arial" w:hAnsi="Arial" w:cs="Arial"/>
          <w:i/>
          <w:sz w:val="20"/>
          <w:szCs w:val="20"/>
          <w:lang w:val="uk-UA"/>
        </w:rPr>
        <w:t xml:space="preserve">                                                                      (1)</w:t>
      </w:r>
    </w:p>
    <w:p w14:paraId="2079AE3D" w14:textId="77777777" w:rsidR="00BF5671" w:rsidRP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</w:p>
    <w:p w14:paraId="2DD49354" w14:textId="266EF893" w:rsidR="00BF5671" w:rsidRP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BF5671">
        <w:rPr>
          <w:rFonts w:ascii="Arial" w:hAnsi="Arial" w:cs="Arial"/>
          <w:sz w:val="20"/>
          <w:szCs w:val="20"/>
          <w:lang w:val="uk-UA"/>
        </w:rPr>
        <w:t xml:space="preserve">де </w:t>
      </w:r>
      <w:r>
        <w:rPr>
          <w:rFonts w:ascii="Arial" w:hAnsi="Arial" w:cs="Arial"/>
          <w:i/>
          <w:sz w:val="20"/>
          <w:szCs w:val="20"/>
          <w:lang w:val="uk-UA"/>
        </w:rPr>
        <w:t>А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 – </w:t>
      </w:r>
      <w:r>
        <w:rPr>
          <w:rFonts w:ascii="Arial" w:hAnsi="Arial" w:cs="Arial"/>
          <w:sz w:val="20"/>
          <w:szCs w:val="20"/>
          <w:lang w:val="uk-UA"/>
        </w:rPr>
        <w:t>пояснення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; </w:t>
      </w:r>
      <w:r>
        <w:rPr>
          <w:rFonts w:ascii="Arial" w:hAnsi="Arial" w:cs="Arial"/>
          <w:sz w:val="20"/>
          <w:szCs w:val="20"/>
          <w:lang w:val="uk-UA"/>
        </w:rPr>
        <w:t xml:space="preserve">  </w:t>
      </w:r>
    </w:p>
    <w:p w14:paraId="4F24CC6A" w14:textId="1B8EC9B9" w:rsidR="00BF5671" w:rsidRP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BF5671">
        <w:rPr>
          <w:rFonts w:ascii="Arial" w:hAnsi="Arial" w:cs="Arial"/>
          <w:i/>
          <w:sz w:val="20"/>
          <w:szCs w:val="20"/>
          <w:lang w:val="uk-UA"/>
        </w:rPr>
        <w:t xml:space="preserve">     </w:t>
      </w:r>
      <w:r>
        <w:rPr>
          <w:rFonts w:ascii="Arial" w:hAnsi="Arial" w:cs="Arial"/>
          <w:i/>
          <w:sz w:val="20"/>
          <w:szCs w:val="20"/>
          <w:lang w:val="uk-UA"/>
        </w:rPr>
        <w:t xml:space="preserve">Б 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– </w:t>
      </w:r>
      <w:r>
        <w:rPr>
          <w:rFonts w:ascii="Arial" w:hAnsi="Arial" w:cs="Arial"/>
          <w:sz w:val="20"/>
          <w:szCs w:val="20"/>
          <w:lang w:val="uk-UA"/>
        </w:rPr>
        <w:t>пояснення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; </w:t>
      </w:r>
      <w:r>
        <w:rPr>
          <w:rFonts w:ascii="Arial" w:hAnsi="Arial" w:cs="Arial"/>
          <w:sz w:val="20"/>
          <w:szCs w:val="20"/>
          <w:lang w:val="uk-UA"/>
        </w:rPr>
        <w:t xml:space="preserve">  </w:t>
      </w:r>
    </w:p>
    <w:p w14:paraId="1828F105" w14:textId="77777777" w:rsid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BF5671">
        <w:rPr>
          <w:rFonts w:ascii="Arial" w:hAnsi="Arial" w:cs="Arial"/>
          <w:i/>
          <w:sz w:val="20"/>
          <w:szCs w:val="20"/>
          <w:lang w:val="uk-UA"/>
        </w:rPr>
        <w:t xml:space="preserve">     </w:t>
      </w:r>
      <w:r>
        <w:rPr>
          <w:rFonts w:ascii="Arial" w:hAnsi="Arial" w:cs="Arial"/>
          <w:i/>
          <w:sz w:val="20"/>
          <w:szCs w:val="20"/>
          <w:lang w:val="uk-UA"/>
        </w:rPr>
        <w:t>В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 – </w:t>
      </w:r>
      <w:r>
        <w:rPr>
          <w:rFonts w:ascii="Arial" w:hAnsi="Arial" w:cs="Arial"/>
          <w:sz w:val="20"/>
          <w:szCs w:val="20"/>
          <w:lang w:val="uk-UA"/>
        </w:rPr>
        <w:t>пояснення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; </w:t>
      </w:r>
      <w:r>
        <w:rPr>
          <w:rFonts w:ascii="Arial" w:hAnsi="Arial" w:cs="Arial"/>
          <w:sz w:val="20"/>
          <w:szCs w:val="20"/>
          <w:lang w:val="uk-UA"/>
        </w:rPr>
        <w:t xml:space="preserve">  </w:t>
      </w:r>
    </w:p>
    <w:p w14:paraId="1979C2D7" w14:textId="56446001" w:rsidR="00BF5671" w:rsidRDefault="00BF5671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BF5671">
        <w:rPr>
          <w:rFonts w:ascii="Arial" w:hAnsi="Arial" w:cs="Arial"/>
          <w:i/>
          <w:sz w:val="20"/>
          <w:szCs w:val="20"/>
          <w:lang w:val="uk-UA"/>
        </w:rPr>
        <w:t xml:space="preserve">    </w:t>
      </w:r>
      <w:r w:rsidR="00A57D1B">
        <w:rPr>
          <w:rFonts w:ascii="Arial" w:hAnsi="Arial" w:cs="Arial"/>
          <w:i/>
          <w:sz w:val="20"/>
          <w:szCs w:val="20"/>
          <w:lang w:val="uk-UA"/>
        </w:rPr>
        <w:t xml:space="preserve"> </w:t>
      </w:r>
      <w:r>
        <w:rPr>
          <w:rFonts w:ascii="Arial" w:hAnsi="Arial" w:cs="Arial"/>
          <w:i/>
          <w:sz w:val="20"/>
          <w:szCs w:val="20"/>
          <w:lang w:val="uk-UA"/>
        </w:rPr>
        <w:t>Г</w:t>
      </w:r>
      <w:r w:rsidRPr="00BF5671">
        <w:rPr>
          <w:rFonts w:ascii="Arial" w:hAnsi="Arial" w:cs="Arial"/>
          <w:sz w:val="20"/>
          <w:szCs w:val="20"/>
          <w:lang w:val="uk-UA"/>
        </w:rPr>
        <w:t xml:space="preserve"> – </w:t>
      </w:r>
      <w:r>
        <w:rPr>
          <w:rFonts w:ascii="Arial" w:hAnsi="Arial" w:cs="Arial"/>
          <w:sz w:val="20"/>
          <w:szCs w:val="20"/>
          <w:lang w:val="uk-UA"/>
        </w:rPr>
        <w:t>пояснення</w:t>
      </w:r>
      <w:r w:rsidRPr="00BF5671">
        <w:rPr>
          <w:rFonts w:ascii="Arial" w:hAnsi="Arial" w:cs="Arial"/>
          <w:sz w:val="20"/>
          <w:szCs w:val="20"/>
          <w:lang w:val="uk-UA"/>
        </w:rPr>
        <w:t>.</w:t>
      </w:r>
    </w:p>
    <w:p w14:paraId="77F24C57" w14:textId="1823FB7B" w:rsidR="00BF5671" w:rsidRDefault="000A0AB5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0A0AB5">
        <w:rPr>
          <w:rFonts w:ascii="Arial" w:hAnsi="Arial" w:cs="Arial"/>
          <w:sz w:val="20"/>
          <w:szCs w:val="20"/>
          <w:lang w:val="uk-UA"/>
        </w:rPr>
        <w:t>Посилання в тексті на джерела слід зазначати порядковим номером за переліком посилань, виділеним двома квадратними дужками. Якщо використовують</w:t>
      </w:r>
      <w:r>
        <w:rPr>
          <w:rFonts w:ascii="Arial" w:hAnsi="Arial" w:cs="Arial"/>
          <w:sz w:val="20"/>
          <w:szCs w:val="20"/>
          <w:lang w:val="uk-UA"/>
        </w:rPr>
        <w:t>ся</w:t>
      </w:r>
      <w:r w:rsidRPr="000A0AB5">
        <w:rPr>
          <w:rFonts w:ascii="Arial" w:hAnsi="Arial" w:cs="Arial"/>
          <w:sz w:val="20"/>
          <w:szCs w:val="20"/>
          <w:lang w:val="uk-UA"/>
        </w:rPr>
        <w:t xml:space="preserve"> відомості, матеріали з монографій, оглядових статей, інших джерел з великою кількістю сторінок, тоді в посиланні необхідно точно вказати номери сторінок, ілюстрацій, таблиць, формул з джерела, на яке є посилання.</w:t>
      </w:r>
    </w:p>
    <w:p w14:paraId="37734D7D" w14:textId="2BD903AE" w:rsidR="00A57D1B" w:rsidRDefault="00A57D1B" w:rsidP="00AF7418">
      <w:pPr>
        <w:spacing w:after="0" w:line="264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Текст доповідей обов’язково має містити висновки із пропозиціями автора та перспективами подальшого розвитку.  </w:t>
      </w:r>
    </w:p>
    <w:p w14:paraId="12BB7A42" w14:textId="77777777" w:rsidR="00BF5671" w:rsidRDefault="00BF5671" w:rsidP="00AF7418">
      <w:pPr>
        <w:spacing w:after="0" w:line="264" w:lineRule="auto"/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</w:p>
    <w:p w14:paraId="285DCC26" w14:textId="25679B3F" w:rsidR="00AE5A63" w:rsidRDefault="006D275E" w:rsidP="00AF7418">
      <w:pPr>
        <w:spacing w:after="0" w:line="264" w:lineRule="auto"/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Список використаних джерел</w:t>
      </w:r>
      <w:r w:rsidR="00AE5A63" w:rsidRPr="00A7540F">
        <w:rPr>
          <w:rFonts w:ascii="Arial" w:hAnsi="Arial" w:cs="Arial"/>
          <w:sz w:val="20"/>
          <w:szCs w:val="20"/>
          <w:lang w:val="uk-UA"/>
        </w:rPr>
        <w:t>:</w:t>
      </w:r>
    </w:p>
    <w:p w14:paraId="363AB67D" w14:textId="62256E80" w:rsidR="00117745" w:rsidRDefault="00117745" w:rsidP="00AF7418">
      <w:pPr>
        <w:pStyle w:val="a3"/>
        <w:numPr>
          <w:ilvl w:val="0"/>
          <w:numId w:val="6"/>
        </w:numPr>
        <w:spacing w:after="0" w:line="264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117745">
        <w:rPr>
          <w:rFonts w:ascii="Arial" w:eastAsia="Times New Roman" w:hAnsi="Arial" w:cs="Arial"/>
          <w:sz w:val="20"/>
          <w:szCs w:val="20"/>
          <w:lang w:val="uk-UA" w:eastAsia="uk-UA"/>
        </w:rPr>
        <w:t xml:space="preserve">Глобальний індекс інновацій [Електронний ресурс]. URL: </w:t>
      </w:r>
      <w:hyperlink r:id="rId7" w:history="1">
        <w:r w:rsidR="00E7541F" w:rsidRPr="005E42C6">
          <w:rPr>
            <w:rStyle w:val="a4"/>
            <w:rFonts w:ascii="Arial" w:eastAsia="Times New Roman" w:hAnsi="Arial" w:cs="Arial"/>
            <w:sz w:val="20"/>
            <w:szCs w:val="20"/>
            <w:lang w:val="uk-UA" w:eastAsia="uk-UA"/>
          </w:rPr>
          <w:t>https://www.globalinnovationindex.org/analysis-indicator</w:t>
        </w:r>
      </w:hyperlink>
      <w:r w:rsidRPr="00117745">
        <w:rPr>
          <w:rFonts w:ascii="Arial" w:eastAsia="Times New Roman" w:hAnsi="Arial" w:cs="Arial"/>
          <w:sz w:val="20"/>
          <w:szCs w:val="20"/>
          <w:lang w:val="uk-UA" w:eastAsia="uk-UA"/>
        </w:rPr>
        <w:t>.</w:t>
      </w:r>
    </w:p>
    <w:p w14:paraId="0577A4B8" w14:textId="77777777" w:rsidR="00117745" w:rsidRPr="00B229C2" w:rsidRDefault="00117745" w:rsidP="00AF7418">
      <w:pPr>
        <w:pStyle w:val="a3"/>
        <w:numPr>
          <w:ilvl w:val="0"/>
          <w:numId w:val="6"/>
        </w:numPr>
        <w:spacing w:after="0" w:line="264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117745">
        <w:rPr>
          <w:rFonts w:ascii="Arial" w:eastAsia="Times New Roman" w:hAnsi="Arial" w:cs="Arial"/>
          <w:sz w:val="20"/>
          <w:szCs w:val="20"/>
          <w:lang w:val="uk-UA" w:eastAsia="uk-UA"/>
        </w:rPr>
        <w:t xml:space="preserve">Світовий центр даних з </w:t>
      </w:r>
      <w:proofErr w:type="spellStart"/>
      <w:r w:rsidRPr="00117745">
        <w:rPr>
          <w:rFonts w:ascii="Arial" w:eastAsia="Times New Roman" w:hAnsi="Arial" w:cs="Arial"/>
          <w:sz w:val="20"/>
          <w:szCs w:val="20"/>
          <w:lang w:val="uk-UA" w:eastAsia="uk-UA"/>
        </w:rPr>
        <w:t>геоінформатики</w:t>
      </w:r>
      <w:proofErr w:type="spellEnd"/>
      <w:r w:rsidRPr="00117745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та сталого розвитку [Електронний ресурс]. URL: http://wdc.org.ua.</w:t>
      </w:r>
    </w:p>
    <w:p w14:paraId="72A38F92" w14:textId="0E32F47F" w:rsidR="000A0AB5" w:rsidRDefault="000A0AB5" w:rsidP="00AF7418">
      <w:pPr>
        <w:spacing w:after="0" w:line="264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53DA5B1E" w14:textId="52DFB8AB" w:rsidR="007B61C5" w:rsidRDefault="007B61C5" w:rsidP="00AF7418">
      <w:pPr>
        <w:spacing w:line="264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br w:type="page"/>
      </w:r>
    </w:p>
    <w:p w14:paraId="6B2A69F2" w14:textId="77777777" w:rsidR="000A0AB5" w:rsidRPr="000A0AB5" w:rsidRDefault="000A0AB5" w:rsidP="007B61C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0A0AB5">
        <w:rPr>
          <w:rFonts w:ascii="Arial" w:hAnsi="Arial" w:cs="Arial"/>
          <w:sz w:val="20"/>
          <w:szCs w:val="20"/>
          <w:lang w:val="uk-UA"/>
        </w:rPr>
        <w:lastRenderedPageBreak/>
        <w:t>Приклади оформлення переліку бібліографічних записів</w:t>
      </w:r>
    </w:p>
    <w:p w14:paraId="552F4B4B" w14:textId="588B45D7" w:rsidR="000A0AB5" w:rsidRPr="000A0AB5" w:rsidRDefault="000A0AB5" w:rsidP="007B61C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0A0AB5">
        <w:rPr>
          <w:rFonts w:ascii="Arial" w:hAnsi="Arial" w:cs="Arial"/>
          <w:sz w:val="20"/>
          <w:szCs w:val="20"/>
          <w:lang w:val="uk-UA"/>
        </w:rPr>
        <w:t>у бібліографічному списку використан</w:t>
      </w:r>
      <w:r w:rsidR="007B61C5">
        <w:rPr>
          <w:rFonts w:ascii="Arial" w:hAnsi="Arial" w:cs="Arial"/>
          <w:sz w:val="20"/>
          <w:szCs w:val="20"/>
          <w:lang w:val="uk-UA"/>
        </w:rPr>
        <w:t xml:space="preserve">их джерел </w:t>
      </w:r>
      <w:r w:rsidRPr="000A0AB5">
        <w:rPr>
          <w:rFonts w:ascii="Arial" w:hAnsi="Arial" w:cs="Arial"/>
          <w:sz w:val="20"/>
          <w:szCs w:val="20"/>
          <w:lang w:val="uk-UA"/>
        </w:rPr>
        <w:t>за ДСТУ 8302:2015</w:t>
      </w:r>
    </w:p>
    <w:p w14:paraId="1268691F" w14:textId="77777777" w:rsidR="000A0AB5" w:rsidRPr="000A0AB5" w:rsidRDefault="000A0AB5" w:rsidP="000A0A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0"/>
        <w:gridCol w:w="7178"/>
      </w:tblGrid>
      <w:tr w:rsidR="000A0AB5" w:rsidRPr="000A0AB5" w14:paraId="7751AD88" w14:textId="77777777" w:rsidTr="007B61C5">
        <w:trPr>
          <w:trHeight w:val="32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7AD1" w14:textId="77777777" w:rsidR="000A0AB5" w:rsidRPr="000A0AB5" w:rsidRDefault="000A0AB5" w:rsidP="007B6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Характеристика джерела</w:t>
            </w:r>
          </w:p>
        </w:tc>
        <w:tc>
          <w:tcPr>
            <w:tcW w:w="7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7260" w14:textId="77777777" w:rsidR="000A0AB5" w:rsidRPr="000A0AB5" w:rsidRDefault="000A0AB5" w:rsidP="007B6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Приклад оформлення</w:t>
            </w:r>
          </w:p>
        </w:tc>
      </w:tr>
      <w:tr w:rsidR="000A0AB5" w:rsidRPr="000A0AB5" w14:paraId="1DFCD780" w14:textId="77777777" w:rsidTr="007B61C5">
        <w:trPr>
          <w:trHeight w:val="16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2063" w14:textId="77777777" w:rsidR="000A0AB5" w:rsidRPr="000A0AB5" w:rsidRDefault="000A0AB5" w:rsidP="007B6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31AE" w14:textId="77777777" w:rsidR="000A0AB5" w:rsidRPr="000A0AB5" w:rsidRDefault="000A0AB5" w:rsidP="007B6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</w:tr>
      <w:tr w:rsidR="000A0AB5" w:rsidRPr="000A0AB5" w14:paraId="23A8CA20" w14:textId="77777777" w:rsidTr="007B61C5">
        <w:trPr>
          <w:trHeight w:val="647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0393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169C91C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При використанні </w:t>
            </w: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значної 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частини тексту документу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258A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У тексті:</w:t>
            </w:r>
          </w:p>
          <w:p w14:paraId="778E0E53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Процес управління та аналіз фінансової діяльності транснаціональних корпорацій наведено у навчальному посібнику «Транснаціональні корпорації» (автори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Войтко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С. В., Гавриш О. А.,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Корогодова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О. О.,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Моісеєнко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Т. Є.) [35].</w:t>
            </w:r>
          </w:p>
          <w:p w14:paraId="1FC87546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позатекстовому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посиланні:</w:t>
            </w:r>
          </w:p>
          <w:p w14:paraId="6847C04A" w14:textId="72033D8B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Войтко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С. В., Гавриш О. А.,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Корогодова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О. О.,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Моісеєнко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Т. Є. Транснаціональні корпорації: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навч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посіб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. Київ, 2016. 208 с.</w:t>
            </w:r>
          </w:p>
        </w:tc>
      </w:tr>
      <w:tr w:rsidR="000A0AB5" w:rsidRPr="000A0AB5" w14:paraId="6F7A0EAC" w14:textId="77777777" w:rsidTr="007B61C5">
        <w:trPr>
          <w:trHeight w:val="105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EF0A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При згадуванні </w:t>
            </w: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конкретної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частини тексту документу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1C10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У тексті:</w:t>
            </w:r>
          </w:p>
          <w:p w14:paraId="05126BF5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[2, с. 128-129].</w:t>
            </w:r>
          </w:p>
          <w:p w14:paraId="2EC436D3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позатекстовому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посиланні:</w:t>
            </w:r>
          </w:p>
          <w:p w14:paraId="3878058F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2. Охріменко О. О., Іванова Т. В. Соціальна відповідальність: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навч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посіб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. Київ: НТУУ «КПІ», 2015. 180 с.</w:t>
            </w:r>
          </w:p>
        </w:tc>
      </w:tr>
      <w:tr w:rsidR="000A0AB5" w:rsidRPr="000A0AB5" w14:paraId="3A85167D" w14:textId="77777777" w:rsidTr="007B61C5">
        <w:trPr>
          <w:trHeight w:val="182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C084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При використанні </w:t>
            </w: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однієї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частини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багаточастинного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видання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4E4F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У тексті:</w:t>
            </w:r>
          </w:p>
          <w:p w14:paraId="10301C0C" w14:textId="3BD6122E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="007B61C5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, т. 1, c. 37-39].</w:t>
            </w:r>
          </w:p>
          <w:p w14:paraId="20B0A8B1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позатекстовому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посиланні:</w:t>
            </w:r>
          </w:p>
          <w:p w14:paraId="344447D9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29.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Чухно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А. А. Вибрані праці. Київ, ДННУ, 2015. Т. 1. 557 с.</w:t>
            </w:r>
          </w:p>
        </w:tc>
      </w:tr>
      <w:tr w:rsidR="000A0AB5" w:rsidRPr="000A0AB5" w14:paraId="057829A9" w14:textId="77777777" w:rsidTr="007B61C5">
        <w:trPr>
          <w:trHeight w:val="76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9E44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При згадуванні </w:t>
            </w: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декількох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документів у одному посиланні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5CE9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У тексті:</w:t>
            </w:r>
          </w:p>
          <w:p w14:paraId="1FC9380E" w14:textId="553BEB3F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="007B61C5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, с. 18; 2, с. 45].</w:t>
            </w:r>
          </w:p>
        </w:tc>
      </w:tr>
      <w:tr w:rsidR="000A0AB5" w:rsidRPr="000A0AB5" w14:paraId="45E2F504" w14:textId="77777777" w:rsidTr="007B61C5">
        <w:trPr>
          <w:trHeight w:val="1844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F130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При згадуванні </w:t>
            </w: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декількох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документів </w:t>
            </w: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одного автора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у одному посиланні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B281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У тексті:</w:t>
            </w:r>
          </w:p>
          <w:p w14:paraId="110BC047" w14:textId="75AA1088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="007B61C5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].</w:t>
            </w:r>
          </w:p>
          <w:p w14:paraId="0ADC2D3A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позатекстовому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посиланні:</w:t>
            </w:r>
          </w:p>
          <w:p w14:paraId="3BBFBDD9" w14:textId="0662AFE0" w:rsidR="000A0AB5" w:rsidRPr="000A0AB5" w:rsidRDefault="007B61C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0A0AB5"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0A0AB5" w:rsidRPr="000A0AB5">
              <w:rPr>
                <w:rFonts w:ascii="Arial" w:hAnsi="Arial" w:cs="Arial"/>
                <w:sz w:val="20"/>
                <w:szCs w:val="20"/>
                <w:lang w:val="uk-UA"/>
              </w:rPr>
              <w:t>Кухарук</w:t>
            </w:r>
            <w:proofErr w:type="spellEnd"/>
            <w:r w:rsidR="000A0AB5"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А. Д.: 1) Класифікація та аналіз методів оцінки конкурентоспроможності промислових підприємств / А. Д. </w:t>
            </w:r>
            <w:proofErr w:type="spellStart"/>
            <w:r w:rsidR="000A0AB5" w:rsidRPr="000A0AB5">
              <w:rPr>
                <w:rFonts w:ascii="Arial" w:hAnsi="Arial" w:cs="Arial"/>
                <w:sz w:val="20"/>
                <w:szCs w:val="20"/>
                <w:lang w:val="uk-UA"/>
              </w:rPr>
              <w:t>Кухарук</w:t>
            </w:r>
            <w:proofErr w:type="spellEnd"/>
            <w:r w:rsidR="000A0AB5"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// Формування ринкових відносин в Україні. 2011. С. 137; 2) Оцінка стабільності формування конкурентних можливостей поліграфічних підприємств. А. Д. </w:t>
            </w:r>
            <w:proofErr w:type="spellStart"/>
            <w:r w:rsidR="000A0AB5" w:rsidRPr="000A0AB5">
              <w:rPr>
                <w:rFonts w:ascii="Arial" w:hAnsi="Arial" w:cs="Arial"/>
                <w:sz w:val="20"/>
                <w:szCs w:val="20"/>
                <w:lang w:val="uk-UA"/>
              </w:rPr>
              <w:t>Кухарук</w:t>
            </w:r>
            <w:proofErr w:type="spellEnd"/>
            <w:r w:rsidR="000A0AB5"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 // Формування ринкових відносин в Україні. 2012. С. 212.</w:t>
            </w:r>
          </w:p>
        </w:tc>
      </w:tr>
      <w:tr w:rsidR="000A0AB5" w:rsidRPr="000A0AB5" w14:paraId="6ED8F938" w14:textId="77777777" w:rsidTr="007B61C5">
        <w:trPr>
          <w:trHeight w:val="3173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635C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При посиланні на електронний ресурс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9026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У тексті:</w:t>
            </w:r>
          </w:p>
          <w:p w14:paraId="3F24BF79" w14:textId="1301D202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[4].</w:t>
            </w:r>
          </w:p>
          <w:p w14:paraId="7FD24B3C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позатекстовому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посиланні:</w:t>
            </w:r>
          </w:p>
          <w:p w14:paraId="419D4B89" w14:textId="47E261F4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4. Герасимчук В. Г. Лідерство у світовій економіці: від «G7» до «E7» // Економічний вісник Національного технічного університету України "Київський політехнічний інститут". 2013. №10. URL: http://</w:t>
            </w:r>
          </w:p>
          <w:p w14:paraId="4A67A1A8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nbuv.gov.ua/UJRN/evntukpi_2013_10_14 (дата звернення: 20.09.2017).*</w:t>
            </w:r>
          </w:p>
          <w:p w14:paraId="04B19089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*</w:t>
            </w: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довгу електронну адресу можна переносити на наступний рядок. У цьому разі останнім у першому рядку має бути знак «навскісна риска» («/»)</w:t>
            </w:r>
          </w:p>
          <w:p w14:paraId="2B029DD4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  <w:p w14:paraId="1E6DA17D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Якщо електронний ресурс має унікальний ідентифікатор DOI (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Digital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Object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Identifier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— Ідентифікатор цифрового об’єкта) або інший постійний ідентифікатор, замість електронної адреси цього ресурсу рекомендовано зазначати його ідентифікатор.</w:t>
            </w:r>
          </w:p>
        </w:tc>
      </w:tr>
      <w:tr w:rsidR="000A0AB5" w:rsidRPr="000A0AB5" w14:paraId="44071CE8" w14:textId="77777777" w:rsidTr="007B61C5">
        <w:trPr>
          <w:trHeight w:val="76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DE1F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При посиланні на архівний документ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F9A5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У тексті:</w:t>
            </w:r>
          </w:p>
          <w:p w14:paraId="53DBF320" w14:textId="52D4B591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[1].</w:t>
            </w:r>
          </w:p>
          <w:p w14:paraId="380AF7B4" w14:textId="77777777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>позатекстовому</w:t>
            </w:r>
            <w:proofErr w:type="spellEnd"/>
            <w:r w:rsidRPr="000A0AB5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посиланні:</w:t>
            </w:r>
          </w:p>
          <w:p w14:paraId="17CD8F82" w14:textId="4546530B" w:rsidR="000A0AB5" w:rsidRPr="000A0AB5" w:rsidRDefault="000A0AB5" w:rsidP="007B61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1. ЦДНТА України. Ф. Р-72.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Оп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. 2. К. 1 -272. Од.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зб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 xml:space="preserve">. 1. 10 </w:t>
            </w:r>
            <w:proofErr w:type="spellStart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арк</w:t>
            </w:r>
            <w:proofErr w:type="spellEnd"/>
            <w:r w:rsidRPr="000A0AB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</w:tbl>
    <w:p w14:paraId="240B693A" w14:textId="77777777" w:rsidR="000A0AB5" w:rsidRPr="000A0AB5" w:rsidRDefault="000A0AB5" w:rsidP="007B61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sectPr w:rsidR="000A0AB5" w:rsidRPr="000A0AB5" w:rsidSect="006D27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4152"/>
    <w:multiLevelType w:val="hybridMultilevel"/>
    <w:tmpl w:val="584CD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94856"/>
    <w:multiLevelType w:val="hybridMultilevel"/>
    <w:tmpl w:val="B524B0EE"/>
    <w:lvl w:ilvl="0" w:tplc="F550BD2C">
      <w:start w:val="9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411128"/>
    <w:multiLevelType w:val="multilevel"/>
    <w:tmpl w:val="9E36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C2B78"/>
    <w:multiLevelType w:val="hybridMultilevel"/>
    <w:tmpl w:val="B68A819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F324304"/>
    <w:multiLevelType w:val="hybridMultilevel"/>
    <w:tmpl w:val="50D2FC64"/>
    <w:lvl w:ilvl="0" w:tplc="85EE5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BDF"/>
    <w:multiLevelType w:val="multilevel"/>
    <w:tmpl w:val="0FD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357D2B"/>
    <w:multiLevelType w:val="hybridMultilevel"/>
    <w:tmpl w:val="41780A36"/>
    <w:lvl w:ilvl="0" w:tplc="1DF460A2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5E1F1D88"/>
    <w:multiLevelType w:val="hybridMultilevel"/>
    <w:tmpl w:val="4E1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24878"/>
    <w:multiLevelType w:val="multilevel"/>
    <w:tmpl w:val="E824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7540E8"/>
    <w:multiLevelType w:val="multilevel"/>
    <w:tmpl w:val="660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A3C41"/>
    <w:multiLevelType w:val="hybridMultilevel"/>
    <w:tmpl w:val="B5B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96"/>
    <w:rsid w:val="00030579"/>
    <w:rsid w:val="00034DC6"/>
    <w:rsid w:val="00087A52"/>
    <w:rsid w:val="000A0AB5"/>
    <w:rsid w:val="00117745"/>
    <w:rsid w:val="00131FB5"/>
    <w:rsid w:val="00133396"/>
    <w:rsid w:val="00140F03"/>
    <w:rsid w:val="001D1880"/>
    <w:rsid w:val="002449E7"/>
    <w:rsid w:val="002721D2"/>
    <w:rsid w:val="00280D97"/>
    <w:rsid w:val="002E477F"/>
    <w:rsid w:val="003152A6"/>
    <w:rsid w:val="00317DD1"/>
    <w:rsid w:val="00386970"/>
    <w:rsid w:val="003A146A"/>
    <w:rsid w:val="00406D7B"/>
    <w:rsid w:val="004336E1"/>
    <w:rsid w:val="00497824"/>
    <w:rsid w:val="004C5650"/>
    <w:rsid w:val="00524D34"/>
    <w:rsid w:val="005A2C3C"/>
    <w:rsid w:val="005D1C11"/>
    <w:rsid w:val="00610583"/>
    <w:rsid w:val="006441D9"/>
    <w:rsid w:val="00653236"/>
    <w:rsid w:val="006C1946"/>
    <w:rsid w:val="006C58B8"/>
    <w:rsid w:val="006D275E"/>
    <w:rsid w:val="006F70B4"/>
    <w:rsid w:val="00746B9F"/>
    <w:rsid w:val="00781BA0"/>
    <w:rsid w:val="007B61C5"/>
    <w:rsid w:val="00874716"/>
    <w:rsid w:val="008D3BE4"/>
    <w:rsid w:val="00985D58"/>
    <w:rsid w:val="009878AD"/>
    <w:rsid w:val="009B5E80"/>
    <w:rsid w:val="00A37594"/>
    <w:rsid w:val="00A57D1B"/>
    <w:rsid w:val="00A7540F"/>
    <w:rsid w:val="00A86E08"/>
    <w:rsid w:val="00A96285"/>
    <w:rsid w:val="00AE5A63"/>
    <w:rsid w:val="00AF7418"/>
    <w:rsid w:val="00B229C2"/>
    <w:rsid w:val="00B26DCC"/>
    <w:rsid w:val="00BF5671"/>
    <w:rsid w:val="00C1775A"/>
    <w:rsid w:val="00C30E58"/>
    <w:rsid w:val="00CF4D7F"/>
    <w:rsid w:val="00D63F0A"/>
    <w:rsid w:val="00E33627"/>
    <w:rsid w:val="00E65AEF"/>
    <w:rsid w:val="00E7541F"/>
    <w:rsid w:val="00ED5AF1"/>
    <w:rsid w:val="00F14B2A"/>
    <w:rsid w:val="00F7360D"/>
    <w:rsid w:val="00F93961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C01"/>
  <w15:chartTrackingRefBased/>
  <w15:docId w15:val="{1E2D6868-E052-4DD2-89C5-C04E1F1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A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5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Література"/>
    <w:basedOn w:val="a"/>
    <w:link w:val="a6"/>
    <w:qFormat/>
    <w:rsid w:val="00781BA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Література Знак"/>
    <w:link w:val="a5"/>
    <w:rsid w:val="00781BA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44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ation">
    <w:name w:val="citation"/>
    <w:basedOn w:val="a0"/>
    <w:rsid w:val="00317DD1"/>
  </w:style>
  <w:style w:type="character" w:customStyle="1" w:styleId="ref-info">
    <w:name w:val="ref-info"/>
    <w:basedOn w:val="a0"/>
    <w:rsid w:val="00317DD1"/>
  </w:style>
  <w:style w:type="character" w:customStyle="1" w:styleId="name">
    <w:name w:val="name"/>
    <w:basedOn w:val="a0"/>
    <w:rsid w:val="008D3BE4"/>
  </w:style>
  <w:style w:type="character" w:styleId="a7">
    <w:name w:val="FollowedHyperlink"/>
    <w:basedOn w:val="a0"/>
    <w:uiPriority w:val="99"/>
    <w:semiHidden/>
    <w:unhideWhenUsed/>
    <w:rsid w:val="008D3BE4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D275E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E754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lobalinnovationindex.org/analysis-indica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75E9-0E8D-4CB4-8AE0-D672D11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Belov</dc:creator>
  <cp:keywords/>
  <dc:description/>
  <cp:lastModifiedBy>Stas S</cp:lastModifiedBy>
  <cp:revision>2</cp:revision>
  <dcterms:created xsi:type="dcterms:W3CDTF">2019-12-08T12:39:00Z</dcterms:created>
  <dcterms:modified xsi:type="dcterms:W3CDTF">2019-12-08T12:39:00Z</dcterms:modified>
</cp:coreProperties>
</file>