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B6B9" w14:textId="77777777" w:rsidR="00AB76A9" w:rsidRDefault="00AB76A9" w:rsidP="00AB76A9">
      <w:pPr>
        <w:widowControl w:val="0"/>
        <w:spacing w:line="276" w:lineRule="auto"/>
        <w:ind w:left="0" w:hanging="2"/>
        <w:jc w:val="left"/>
        <w:rPr>
          <w:rFonts w:ascii="Arial" w:eastAsia="Arial" w:hAnsi="Arial" w:cs="Arial"/>
          <w:color w:val="000000"/>
          <w:sz w:val="22"/>
          <w:szCs w:val="22"/>
        </w:rPr>
      </w:pPr>
      <w:bookmarkStart w:id="0" w:name="_heading=h.gjdgxs" w:colFirst="0" w:colLast="0"/>
      <w:bookmarkEnd w:id="0"/>
    </w:p>
    <w:tbl>
      <w:tblPr>
        <w:tblW w:w="10206" w:type="dxa"/>
        <w:tblLayout w:type="fixed"/>
        <w:tblLook w:val="0000" w:firstRow="0" w:lastRow="0" w:firstColumn="0" w:lastColumn="0" w:noHBand="0" w:noVBand="0"/>
      </w:tblPr>
      <w:tblGrid>
        <w:gridCol w:w="5670"/>
        <w:gridCol w:w="1309"/>
        <w:gridCol w:w="3227"/>
      </w:tblGrid>
      <w:tr w:rsidR="00AB76A9" w14:paraId="7EE408AF" w14:textId="77777777" w:rsidTr="00066DBF">
        <w:trPr>
          <w:trHeight w:val="416"/>
        </w:trPr>
        <w:tc>
          <w:tcPr>
            <w:tcW w:w="5670" w:type="dxa"/>
            <w:tcBorders>
              <w:right w:val="single" w:sz="4" w:space="0" w:color="000000"/>
            </w:tcBorders>
          </w:tcPr>
          <w:p w14:paraId="4FB4A236" w14:textId="77777777" w:rsidR="00AB76A9" w:rsidRDefault="00AB76A9" w:rsidP="00066DBF">
            <w:pPr>
              <w:spacing w:line="240" w:lineRule="auto"/>
              <w:ind w:left="1" w:hanging="3"/>
              <w:jc w:val="left"/>
              <w:rPr>
                <w:rFonts w:ascii="Calibri" w:eastAsia="Calibri" w:hAnsi="Calibri" w:cs="Calibri"/>
                <w:color w:val="002060"/>
              </w:rPr>
            </w:pPr>
            <w:r>
              <w:rPr>
                <w:rFonts w:ascii="Calibri" w:eastAsia="Calibri" w:hAnsi="Calibri" w:cs="Calibri"/>
                <w:noProof/>
                <w:color w:val="000000"/>
                <w:sz w:val="28"/>
                <w:szCs w:val="28"/>
                <w:lang w:val="ru-RU"/>
              </w:rPr>
              <w:drawing>
                <wp:inline distT="0" distB="0" distL="114300" distR="114300" wp14:anchorId="69ECA1BC" wp14:editId="36058981">
                  <wp:extent cx="2955925" cy="55181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55925" cy="551815"/>
                          </a:xfrm>
                          <a:prstGeom prst="rect">
                            <a:avLst/>
                          </a:prstGeom>
                          <a:ln/>
                        </pic:spPr>
                      </pic:pic>
                    </a:graphicData>
                  </a:graphic>
                </wp:inline>
              </w:drawing>
            </w:r>
          </w:p>
        </w:tc>
        <w:tc>
          <w:tcPr>
            <w:tcW w:w="1309" w:type="dxa"/>
            <w:tcBorders>
              <w:top w:val="single" w:sz="4" w:space="0" w:color="000000"/>
              <w:left w:val="single" w:sz="4" w:space="0" w:color="000000"/>
              <w:bottom w:val="single" w:sz="4" w:space="0" w:color="000000"/>
              <w:right w:val="single" w:sz="4" w:space="0" w:color="000000"/>
            </w:tcBorders>
            <w:vAlign w:val="center"/>
          </w:tcPr>
          <w:p w14:paraId="5FBFC4A3" w14:textId="77777777" w:rsidR="00AB76A9" w:rsidRDefault="00AB76A9" w:rsidP="00066DBF">
            <w:pPr>
              <w:spacing w:line="240" w:lineRule="auto"/>
              <w:ind w:left="1" w:hanging="3"/>
              <w:rPr>
                <w:rFonts w:ascii="Calibri" w:eastAsia="Calibri" w:hAnsi="Calibri" w:cs="Calibri"/>
                <w:color w:val="0070C0"/>
              </w:rPr>
            </w:pPr>
            <w:r>
              <w:rPr>
                <w:noProof/>
                <w:color w:val="000000"/>
                <w:sz w:val="28"/>
                <w:szCs w:val="28"/>
                <w:lang w:val="ru-RU"/>
              </w:rPr>
              <w:drawing>
                <wp:inline distT="0" distB="0" distL="114300" distR="114300" wp14:anchorId="0D78FC66" wp14:editId="7577830F">
                  <wp:extent cx="695960" cy="42799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95960" cy="427990"/>
                          </a:xfrm>
                          <a:prstGeom prst="rect">
                            <a:avLst/>
                          </a:prstGeom>
                          <a:ln/>
                        </pic:spPr>
                      </pic:pic>
                    </a:graphicData>
                  </a:graphic>
                </wp:inline>
              </w:drawing>
            </w:r>
          </w:p>
        </w:tc>
        <w:tc>
          <w:tcPr>
            <w:tcW w:w="3227" w:type="dxa"/>
            <w:tcBorders>
              <w:left w:val="single" w:sz="4" w:space="0" w:color="000000"/>
            </w:tcBorders>
            <w:vAlign w:val="center"/>
          </w:tcPr>
          <w:p w14:paraId="5AE784F1" w14:textId="77777777" w:rsidR="00AB76A9" w:rsidRDefault="00AB76A9" w:rsidP="00066DBF">
            <w:pPr>
              <w:spacing w:line="240" w:lineRule="auto"/>
              <w:ind w:left="0" w:hanging="2"/>
              <w:jc w:val="left"/>
              <w:rPr>
                <w:rFonts w:ascii="Calibri" w:eastAsia="Calibri" w:hAnsi="Calibri" w:cs="Calibri"/>
                <w:color w:val="0070C0"/>
                <w:highlight w:val="white"/>
              </w:rPr>
            </w:pPr>
            <w:r>
              <w:rPr>
                <w:rFonts w:ascii="Calibri" w:eastAsia="Calibri" w:hAnsi="Calibri" w:cs="Calibri"/>
                <w:b/>
                <w:color w:val="0070C0"/>
                <w:position w:val="0"/>
                <w:lang w:val="en-US" w:eastAsia="en-US"/>
              </w:rPr>
              <w:t>Department of English</w:t>
            </w:r>
            <w:r w:rsidRPr="00B96AD4">
              <w:rPr>
                <w:rFonts w:ascii="Calibri" w:eastAsia="Calibri" w:hAnsi="Calibri" w:cs="Calibri"/>
                <w:b/>
                <w:color w:val="0070C0"/>
                <w:position w:val="0"/>
                <w:lang w:val="en-US" w:eastAsia="en-US"/>
              </w:rPr>
              <w:t xml:space="preserve"> for Humanities №3</w:t>
            </w:r>
          </w:p>
        </w:tc>
      </w:tr>
      <w:tr w:rsidR="00AB76A9" w:rsidRPr="00FA591C" w14:paraId="1D8453B5" w14:textId="77777777" w:rsidTr="00066DBF">
        <w:trPr>
          <w:trHeight w:val="628"/>
        </w:trPr>
        <w:tc>
          <w:tcPr>
            <w:tcW w:w="10206" w:type="dxa"/>
            <w:gridSpan w:val="3"/>
          </w:tcPr>
          <w:p w14:paraId="0D2E1A70" w14:textId="77777777" w:rsidR="00AB76A9" w:rsidRPr="00FA591C" w:rsidRDefault="00AB76A9" w:rsidP="00066DBF">
            <w:pPr>
              <w:spacing w:before="120" w:line="276" w:lineRule="auto"/>
              <w:ind w:left="3" w:hanging="5"/>
              <w:rPr>
                <w:rFonts w:ascii="Calibri" w:eastAsia="Calibri" w:hAnsi="Calibri" w:cs="Calibri"/>
                <w:color w:val="002060"/>
                <w:sz w:val="48"/>
                <w:szCs w:val="48"/>
                <w:lang w:val="en-US"/>
              </w:rPr>
            </w:pPr>
            <w:r w:rsidRPr="00FA591C">
              <w:rPr>
                <w:rFonts w:ascii="Calibri" w:eastAsia="Calibri" w:hAnsi="Calibri" w:cs="Calibri"/>
                <w:b/>
                <w:color w:val="002060"/>
                <w:sz w:val="48"/>
                <w:szCs w:val="48"/>
                <w:lang w:val="en-US"/>
              </w:rPr>
              <w:t>Practical Course of English І</w:t>
            </w:r>
          </w:p>
          <w:p w14:paraId="3CB8EDB7" w14:textId="77777777" w:rsidR="00AB76A9" w:rsidRPr="00FA591C" w:rsidRDefault="00AB76A9" w:rsidP="00066DBF">
            <w:pPr>
              <w:spacing w:line="276" w:lineRule="auto"/>
              <w:ind w:left="2" w:hanging="4"/>
              <w:rPr>
                <w:rFonts w:ascii="Calibri" w:eastAsia="Calibri" w:hAnsi="Calibri" w:cs="Calibri"/>
                <w:color w:val="002060"/>
                <w:sz w:val="36"/>
                <w:szCs w:val="36"/>
                <w:lang w:val="en-US"/>
              </w:rPr>
            </w:pPr>
            <w:r w:rsidRPr="00FA591C">
              <w:rPr>
                <w:rFonts w:ascii="Calibri" w:eastAsia="Calibri" w:hAnsi="Calibri" w:cs="Calibri"/>
                <w:b/>
                <w:color w:val="002060"/>
                <w:sz w:val="36"/>
                <w:szCs w:val="36"/>
                <w:lang w:val="en-US"/>
              </w:rPr>
              <w:t>Syllabus</w:t>
            </w:r>
          </w:p>
        </w:tc>
      </w:tr>
    </w:tbl>
    <w:p w14:paraId="788C1281" w14:textId="77777777" w:rsidR="00AB76A9" w:rsidRPr="00FA591C" w:rsidRDefault="00AB76A9" w:rsidP="00AB76A9">
      <w:pPr>
        <w:keepNext/>
        <w:shd w:val="clear" w:color="auto" w:fill="BFBFBF"/>
        <w:spacing w:before="120" w:after="120" w:line="240" w:lineRule="auto"/>
        <w:ind w:left="0" w:hanging="2"/>
        <w:rPr>
          <w:rFonts w:ascii="Calibri" w:eastAsia="Calibri" w:hAnsi="Calibri" w:cs="Calibri"/>
          <w:color w:val="002060"/>
          <w:lang w:val="en-US"/>
        </w:rPr>
      </w:pPr>
      <w:r w:rsidRPr="00FA591C">
        <w:rPr>
          <w:color w:val="000000"/>
          <w:lang w:val="en-US"/>
        </w:rPr>
        <w:t>Requisites of the Course</w:t>
      </w:r>
    </w:p>
    <w:tbl>
      <w:tblPr>
        <w:tblW w:w="10206" w:type="dxa"/>
        <w:tblBorders>
          <w:top w:val="single" w:sz="4" w:space="0" w:color="95B3D7"/>
          <w:left w:val="nil"/>
          <w:bottom w:val="single" w:sz="4" w:space="0" w:color="95B3D7"/>
          <w:right w:val="nil"/>
          <w:insideH w:val="single" w:sz="4" w:space="0" w:color="95B3D7"/>
          <w:insideV w:val="single" w:sz="4" w:space="0" w:color="95B3D7"/>
        </w:tblBorders>
        <w:tblLayout w:type="fixed"/>
        <w:tblLook w:val="0000" w:firstRow="0" w:lastRow="0" w:firstColumn="0" w:lastColumn="0" w:noHBand="0" w:noVBand="0"/>
      </w:tblPr>
      <w:tblGrid>
        <w:gridCol w:w="2694"/>
        <w:gridCol w:w="7512"/>
      </w:tblGrid>
      <w:tr w:rsidR="00AB76A9" w:rsidRPr="00FA591C" w14:paraId="3BA37831" w14:textId="77777777" w:rsidTr="00066DBF">
        <w:tc>
          <w:tcPr>
            <w:tcW w:w="2694" w:type="dxa"/>
            <w:tcBorders>
              <w:top w:val="nil"/>
              <w:bottom w:val="single" w:sz="12" w:space="0" w:color="95B3D7"/>
              <w:right w:val="nil"/>
            </w:tcBorders>
            <w:shd w:val="clear" w:color="auto" w:fill="FFFFFF"/>
          </w:tcPr>
          <w:p w14:paraId="30AED135"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Cycle of Higher Education</w:t>
            </w:r>
          </w:p>
        </w:tc>
        <w:tc>
          <w:tcPr>
            <w:tcW w:w="7512" w:type="dxa"/>
            <w:tcBorders>
              <w:top w:val="nil"/>
              <w:left w:val="nil"/>
              <w:bottom w:val="single" w:sz="12" w:space="0" w:color="95B3D7"/>
            </w:tcBorders>
            <w:shd w:val="clear" w:color="auto" w:fill="FFFFFF"/>
          </w:tcPr>
          <w:p w14:paraId="3D9C98EC"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i/>
                <w:color w:val="0070C0"/>
                <w:sz w:val="22"/>
                <w:szCs w:val="22"/>
                <w:lang w:val="en-US"/>
              </w:rPr>
              <w:t>First cycle of higher education (Bachelor’s degree)</w:t>
            </w:r>
          </w:p>
        </w:tc>
      </w:tr>
      <w:tr w:rsidR="00486ED9" w:rsidRPr="00FA591C" w14:paraId="04FA48CB" w14:textId="77777777" w:rsidTr="00066DBF">
        <w:tc>
          <w:tcPr>
            <w:tcW w:w="2694" w:type="dxa"/>
            <w:shd w:val="clear" w:color="auto" w:fill="DBE5F1"/>
          </w:tcPr>
          <w:p w14:paraId="0946BD35" w14:textId="77777777" w:rsidR="00486ED9" w:rsidRPr="00FA591C" w:rsidRDefault="00486ED9" w:rsidP="00486ED9">
            <w:pPr>
              <w:spacing w:before="20" w:after="20" w:line="240" w:lineRule="auto"/>
              <w:ind w:left="0" w:hanging="2"/>
              <w:jc w:val="both"/>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Field of </w:t>
            </w:r>
            <w:r w:rsidRPr="00FA591C">
              <w:rPr>
                <w:rFonts w:ascii="Calibri" w:eastAsia="Calibri" w:hAnsi="Calibri" w:cs="Calibri"/>
                <w:b/>
                <w:sz w:val="22"/>
                <w:szCs w:val="22"/>
                <w:lang w:val="en-US"/>
              </w:rPr>
              <w:t>S</w:t>
            </w:r>
            <w:r w:rsidRPr="00FA591C">
              <w:rPr>
                <w:rFonts w:ascii="Calibri" w:eastAsia="Calibri" w:hAnsi="Calibri" w:cs="Calibri"/>
                <w:b/>
                <w:color w:val="000000"/>
                <w:sz w:val="22"/>
                <w:szCs w:val="22"/>
                <w:lang w:val="en-US"/>
              </w:rPr>
              <w:t>tudy</w:t>
            </w:r>
          </w:p>
        </w:tc>
        <w:tc>
          <w:tcPr>
            <w:tcW w:w="7512" w:type="dxa"/>
            <w:shd w:val="clear" w:color="auto" w:fill="DBE5F1"/>
          </w:tcPr>
          <w:p w14:paraId="79D53FB7" w14:textId="2F0FC28E" w:rsidR="00486ED9" w:rsidRPr="00AB76A9" w:rsidRDefault="00486ED9" w:rsidP="00486ED9">
            <w:pPr>
              <w:ind w:left="0" w:hanging="2"/>
              <w:jc w:val="left"/>
              <w:rPr>
                <w:rFonts w:asciiTheme="majorHAnsi" w:hAnsiTheme="majorHAnsi" w:cstheme="majorHAnsi"/>
                <w:lang w:val="en-US"/>
              </w:rPr>
            </w:pPr>
            <w:r w:rsidRPr="004E63D6">
              <w:rPr>
                <w:rFonts w:asciiTheme="minorHAnsi" w:hAnsiTheme="minorHAnsi" w:cstheme="minorHAnsi"/>
                <w:sz w:val="22"/>
                <w:szCs w:val="22"/>
              </w:rPr>
              <w:t>0</w:t>
            </w:r>
            <w:r>
              <w:rPr>
                <w:rFonts w:asciiTheme="minorHAnsi" w:hAnsiTheme="minorHAnsi" w:cstheme="minorHAnsi"/>
                <w:sz w:val="22"/>
                <w:szCs w:val="22"/>
              </w:rPr>
              <w:t xml:space="preserve">5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behavioral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studies</w:t>
            </w:r>
            <w:proofErr w:type="spellEnd"/>
          </w:p>
        </w:tc>
      </w:tr>
      <w:tr w:rsidR="00486ED9" w:rsidRPr="00FA591C" w14:paraId="1D681942" w14:textId="77777777" w:rsidTr="00066DBF">
        <w:tc>
          <w:tcPr>
            <w:tcW w:w="2694" w:type="dxa"/>
          </w:tcPr>
          <w:p w14:paraId="10C74A39" w14:textId="77777777" w:rsidR="00486ED9" w:rsidRPr="00FA591C" w:rsidRDefault="00486ED9" w:rsidP="00486ED9">
            <w:pPr>
              <w:spacing w:before="20" w:after="20" w:line="240" w:lineRule="auto"/>
              <w:ind w:left="0" w:hanging="2"/>
              <w:jc w:val="left"/>
              <w:rPr>
                <w:rFonts w:ascii="Calibri" w:eastAsia="Calibri" w:hAnsi="Calibri" w:cs="Calibri"/>
                <w:color w:val="000000"/>
                <w:sz w:val="22"/>
                <w:szCs w:val="22"/>
                <w:lang w:val="en-US"/>
              </w:rPr>
            </w:pPr>
            <w:proofErr w:type="spellStart"/>
            <w:r w:rsidRPr="00FA591C">
              <w:rPr>
                <w:rFonts w:ascii="Calibri" w:eastAsia="Calibri" w:hAnsi="Calibri" w:cs="Calibri"/>
                <w:b/>
                <w:color w:val="000000"/>
                <w:sz w:val="22"/>
                <w:szCs w:val="22"/>
                <w:lang w:val="en-US"/>
              </w:rPr>
              <w:t>Special</w:t>
            </w:r>
            <w:r>
              <w:rPr>
                <w:rFonts w:ascii="Calibri" w:eastAsia="Calibri" w:hAnsi="Calibri" w:cs="Calibri"/>
                <w:b/>
                <w:color w:val="000000"/>
                <w:sz w:val="22"/>
                <w:szCs w:val="22"/>
                <w:lang w:val="en-US"/>
              </w:rPr>
              <w:t>i</w:t>
            </w:r>
            <w:r w:rsidRPr="00FA591C">
              <w:rPr>
                <w:rFonts w:ascii="Calibri" w:eastAsia="Calibri" w:hAnsi="Calibri" w:cs="Calibri"/>
                <w:b/>
                <w:color w:val="000000"/>
                <w:sz w:val="22"/>
                <w:szCs w:val="22"/>
                <w:lang w:val="en-US"/>
              </w:rPr>
              <w:t>ty</w:t>
            </w:r>
            <w:proofErr w:type="spellEnd"/>
            <w:r w:rsidRPr="00FA591C">
              <w:rPr>
                <w:rFonts w:ascii="Calibri" w:eastAsia="Calibri" w:hAnsi="Calibri" w:cs="Calibri"/>
                <w:b/>
                <w:color w:val="000000"/>
                <w:sz w:val="22"/>
                <w:szCs w:val="22"/>
                <w:lang w:val="en-US"/>
              </w:rPr>
              <w:t xml:space="preserve"> </w:t>
            </w:r>
          </w:p>
        </w:tc>
        <w:tc>
          <w:tcPr>
            <w:tcW w:w="7512" w:type="dxa"/>
          </w:tcPr>
          <w:p w14:paraId="48772235" w14:textId="5975C81E" w:rsidR="00486ED9" w:rsidRPr="00AB76A9" w:rsidRDefault="00486ED9" w:rsidP="00486ED9">
            <w:pPr>
              <w:ind w:left="0" w:hanging="2"/>
              <w:jc w:val="left"/>
              <w:rPr>
                <w:rFonts w:asciiTheme="majorHAnsi" w:hAnsiTheme="majorHAnsi" w:cstheme="majorHAnsi"/>
                <w:lang w:val="en-US"/>
              </w:rPr>
            </w:pPr>
            <w:r w:rsidRPr="004E63D6">
              <w:rPr>
                <w:rFonts w:asciiTheme="minorHAnsi" w:hAnsiTheme="minorHAnsi" w:cstheme="minorHAnsi"/>
                <w:sz w:val="22"/>
                <w:szCs w:val="22"/>
              </w:rPr>
              <w:t xml:space="preserve">051 </w:t>
            </w:r>
            <w:proofErr w:type="spellStart"/>
            <w:r w:rsidRPr="004E63D6">
              <w:rPr>
                <w:rFonts w:asciiTheme="minorHAnsi" w:hAnsiTheme="minorHAnsi" w:cstheme="minorHAnsi"/>
                <w:sz w:val="22"/>
                <w:szCs w:val="22"/>
              </w:rPr>
              <w:t>Economics</w:t>
            </w:r>
            <w:proofErr w:type="spellEnd"/>
          </w:p>
        </w:tc>
      </w:tr>
      <w:tr w:rsidR="00486ED9" w:rsidRPr="00FA591C" w14:paraId="6FDF3507" w14:textId="77777777" w:rsidTr="00066DBF">
        <w:tc>
          <w:tcPr>
            <w:tcW w:w="2694" w:type="dxa"/>
            <w:shd w:val="clear" w:color="auto" w:fill="DBE5F1"/>
          </w:tcPr>
          <w:p w14:paraId="3D9DAFD3" w14:textId="77777777" w:rsidR="00486ED9" w:rsidRPr="00FA591C" w:rsidRDefault="00486ED9" w:rsidP="00486ED9">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Curriculum </w:t>
            </w:r>
          </w:p>
        </w:tc>
        <w:tc>
          <w:tcPr>
            <w:tcW w:w="7512" w:type="dxa"/>
            <w:shd w:val="clear" w:color="auto" w:fill="DBE5F1"/>
          </w:tcPr>
          <w:p w14:paraId="656F09FE" w14:textId="6C9430BF" w:rsidR="00486ED9" w:rsidRPr="00AB76A9" w:rsidRDefault="00486ED9" w:rsidP="00486ED9">
            <w:pPr>
              <w:ind w:left="0" w:hanging="2"/>
              <w:jc w:val="left"/>
              <w:rPr>
                <w:rFonts w:asciiTheme="majorHAnsi" w:hAnsiTheme="majorHAnsi" w:cstheme="majorHAnsi"/>
                <w:lang w:val="en-US"/>
              </w:rPr>
            </w:pPr>
            <w:proofErr w:type="spellStart"/>
            <w:r>
              <w:rPr>
                <w:rFonts w:asciiTheme="minorHAnsi" w:hAnsiTheme="minorHAnsi" w:cstheme="minorHAnsi"/>
                <w:bCs/>
                <w:sz w:val="22"/>
                <w:szCs w:val="22"/>
              </w:rPr>
              <w:t>I</w:t>
            </w:r>
            <w:r w:rsidRPr="004E63D6">
              <w:rPr>
                <w:rFonts w:asciiTheme="minorHAnsi" w:hAnsiTheme="minorHAnsi" w:cstheme="minorHAnsi"/>
                <w:bCs/>
                <w:sz w:val="22"/>
                <w:szCs w:val="22"/>
              </w:rPr>
              <w:t>nternational</w:t>
            </w:r>
            <w:proofErr w:type="spellEnd"/>
            <w:r w:rsidRPr="004E63D6">
              <w:rPr>
                <w:rFonts w:asciiTheme="minorHAnsi" w:hAnsiTheme="minorHAnsi" w:cstheme="minorHAnsi"/>
                <w:sz w:val="22"/>
                <w:szCs w:val="22"/>
              </w:rPr>
              <w:t> </w:t>
            </w:r>
            <w:proofErr w:type="spellStart"/>
            <w:r w:rsidRPr="004E63D6">
              <w:rPr>
                <w:rFonts w:asciiTheme="minorHAnsi" w:hAnsiTheme="minorHAnsi" w:cstheme="minorHAnsi"/>
                <w:sz w:val="22"/>
                <w:szCs w:val="22"/>
              </w:rPr>
              <w:t>Economics</w:t>
            </w:r>
            <w:proofErr w:type="spellEnd"/>
          </w:p>
        </w:tc>
      </w:tr>
      <w:tr w:rsidR="00486ED9" w:rsidRPr="00FA591C" w14:paraId="17CE6F0F" w14:textId="77777777" w:rsidTr="00066DBF">
        <w:tc>
          <w:tcPr>
            <w:tcW w:w="2694" w:type="dxa"/>
          </w:tcPr>
          <w:p w14:paraId="610252FD" w14:textId="77777777" w:rsidR="00486ED9" w:rsidRPr="00FA591C" w:rsidRDefault="00486ED9" w:rsidP="00486ED9">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Type of </w:t>
            </w:r>
            <w:r w:rsidRPr="00FA591C">
              <w:rPr>
                <w:rFonts w:ascii="Calibri" w:eastAsia="Calibri" w:hAnsi="Calibri" w:cs="Calibri"/>
                <w:b/>
                <w:sz w:val="22"/>
                <w:szCs w:val="22"/>
                <w:lang w:val="en-US"/>
              </w:rPr>
              <w:t>C</w:t>
            </w:r>
            <w:r w:rsidRPr="00FA591C">
              <w:rPr>
                <w:rFonts w:ascii="Calibri" w:eastAsia="Calibri" w:hAnsi="Calibri" w:cs="Calibri"/>
                <w:b/>
                <w:color w:val="000000"/>
                <w:sz w:val="22"/>
                <w:szCs w:val="22"/>
                <w:lang w:val="en-US"/>
              </w:rPr>
              <w:t>ourse</w:t>
            </w:r>
          </w:p>
        </w:tc>
        <w:tc>
          <w:tcPr>
            <w:tcW w:w="7512" w:type="dxa"/>
          </w:tcPr>
          <w:p w14:paraId="3136A115" w14:textId="1AA0D3E7" w:rsidR="00486ED9" w:rsidRPr="00FA591C" w:rsidRDefault="00486ED9" w:rsidP="00486ED9">
            <w:pPr>
              <w:spacing w:before="20" w:after="20" w:line="240" w:lineRule="auto"/>
              <w:ind w:left="0" w:hanging="2"/>
              <w:jc w:val="left"/>
              <w:rPr>
                <w:rFonts w:asciiTheme="majorHAnsi" w:eastAsia="Calibri" w:hAnsiTheme="majorHAnsi" w:cstheme="majorHAnsi"/>
                <w:color w:val="0070C0"/>
                <w:sz w:val="22"/>
                <w:szCs w:val="22"/>
                <w:lang w:val="en-US"/>
              </w:rPr>
            </w:pPr>
            <w:proofErr w:type="spellStart"/>
            <w:r w:rsidRPr="00C359E1">
              <w:rPr>
                <w:rFonts w:asciiTheme="minorHAnsi" w:eastAsia="Calibri" w:hAnsiTheme="minorHAnsi" w:cstheme="minorHAnsi"/>
                <w:sz w:val="22"/>
                <w:szCs w:val="22"/>
              </w:rPr>
              <w:t>elective</w:t>
            </w:r>
            <w:proofErr w:type="spellEnd"/>
          </w:p>
        </w:tc>
      </w:tr>
      <w:tr w:rsidR="00AB76A9" w:rsidRPr="00FA591C" w14:paraId="06FF55A7" w14:textId="77777777" w:rsidTr="00066DBF">
        <w:tc>
          <w:tcPr>
            <w:tcW w:w="2694" w:type="dxa"/>
            <w:shd w:val="clear" w:color="auto" w:fill="DBE5F1"/>
          </w:tcPr>
          <w:p w14:paraId="6587506A" w14:textId="77777777" w:rsidR="00AB76A9" w:rsidRPr="00FA591C" w:rsidRDefault="00AB76A9" w:rsidP="00066DBF">
            <w:pPr>
              <w:spacing w:before="20" w:after="20" w:line="240" w:lineRule="auto"/>
              <w:ind w:left="0" w:hanging="2"/>
              <w:jc w:val="left"/>
              <w:rPr>
                <w:color w:val="000000"/>
                <w:lang w:val="en-US"/>
              </w:rPr>
            </w:pPr>
            <w:r w:rsidRPr="00FA591C">
              <w:rPr>
                <w:rFonts w:ascii="Calibri" w:eastAsia="Calibri" w:hAnsi="Calibri" w:cs="Calibri"/>
                <w:b/>
                <w:color w:val="000000"/>
                <w:sz w:val="22"/>
                <w:szCs w:val="22"/>
                <w:lang w:val="en-US"/>
              </w:rPr>
              <w:t>Mode of Study</w:t>
            </w:r>
          </w:p>
        </w:tc>
        <w:tc>
          <w:tcPr>
            <w:tcW w:w="7512" w:type="dxa"/>
            <w:shd w:val="clear" w:color="auto" w:fill="DBE5F1"/>
          </w:tcPr>
          <w:p w14:paraId="1324D4AB" w14:textId="77777777" w:rsidR="00AB76A9" w:rsidRPr="00FA591C" w:rsidRDefault="00AB76A9" w:rsidP="00066DBF">
            <w:pPr>
              <w:spacing w:before="20" w:after="20" w:line="240" w:lineRule="auto"/>
              <w:ind w:left="0" w:hanging="2"/>
              <w:jc w:val="left"/>
              <w:rPr>
                <w:rFonts w:asciiTheme="majorHAnsi" w:eastAsia="Calibri" w:hAnsiTheme="majorHAnsi" w:cstheme="majorHAnsi"/>
                <w:color w:val="0070C0"/>
                <w:sz w:val="22"/>
                <w:szCs w:val="22"/>
                <w:highlight w:val="yellow"/>
                <w:lang w:val="en-US"/>
              </w:rPr>
            </w:pPr>
            <w:r w:rsidRPr="00FA591C">
              <w:rPr>
                <w:rFonts w:asciiTheme="majorHAnsi" w:hAnsiTheme="majorHAnsi" w:cstheme="majorHAnsi"/>
                <w:color w:val="000000"/>
                <w:lang w:val="en-US"/>
              </w:rPr>
              <w:t>full-time</w:t>
            </w:r>
          </w:p>
        </w:tc>
      </w:tr>
      <w:tr w:rsidR="00AB76A9" w:rsidRPr="00FA591C" w14:paraId="7EF45450" w14:textId="77777777" w:rsidTr="00066DBF">
        <w:tc>
          <w:tcPr>
            <w:tcW w:w="2694" w:type="dxa"/>
          </w:tcPr>
          <w:p w14:paraId="0C859D9F"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Year of </w:t>
            </w:r>
            <w:r w:rsidRPr="00FA591C">
              <w:rPr>
                <w:rFonts w:ascii="Calibri" w:eastAsia="Calibri" w:hAnsi="Calibri" w:cs="Calibri"/>
                <w:b/>
                <w:sz w:val="22"/>
                <w:szCs w:val="22"/>
                <w:lang w:val="en-US"/>
              </w:rPr>
              <w:t>S</w:t>
            </w:r>
            <w:r w:rsidRPr="00FA591C">
              <w:rPr>
                <w:rFonts w:ascii="Calibri" w:eastAsia="Calibri" w:hAnsi="Calibri" w:cs="Calibri"/>
                <w:b/>
                <w:color w:val="000000"/>
                <w:sz w:val="22"/>
                <w:szCs w:val="22"/>
                <w:lang w:val="en-US"/>
              </w:rPr>
              <w:t>tudy/ Semester</w:t>
            </w:r>
          </w:p>
        </w:tc>
        <w:tc>
          <w:tcPr>
            <w:tcW w:w="7512" w:type="dxa"/>
          </w:tcPr>
          <w:p w14:paraId="7CFC87D8" w14:textId="77777777" w:rsidR="00AB76A9" w:rsidRPr="00FA591C" w:rsidRDefault="00AB76A9" w:rsidP="00066DBF">
            <w:pPr>
              <w:spacing w:before="20" w:after="20" w:line="240" w:lineRule="auto"/>
              <w:ind w:left="0" w:hanging="2"/>
              <w:jc w:val="left"/>
              <w:rPr>
                <w:rFonts w:asciiTheme="majorHAnsi" w:eastAsia="Calibri" w:hAnsiTheme="majorHAnsi" w:cstheme="majorHAnsi"/>
                <w:color w:val="0070C0"/>
                <w:sz w:val="22"/>
                <w:szCs w:val="22"/>
                <w:lang w:val="en-US"/>
              </w:rPr>
            </w:pPr>
            <w:r w:rsidRPr="00FA591C">
              <w:rPr>
                <w:rFonts w:asciiTheme="majorHAnsi" w:hAnsiTheme="majorHAnsi" w:cstheme="majorHAnsi"/>
                <w:color w:val="000000"/>
                <w:lang w:val="en-US"/>
              </w:rPr>
              <w:t>First year/ Semester I &amp; II</w:t>
            </w:r>
          </w:p>
        </w:tc>
      </w:tr>
      <w:tr w:rsidR="00AB76A9" w:rsidRPr="00FA591C" w14:paraId="1CE015E7" w14:textId="77777777" w:rsidTr="00066DBF">
        <w:tc>
          <w:tcPr>
            <w:tcW w:w="2694" w:type="dxa"/>
            <w:shd w:val="clear" w:color="auto" w:fill="DBE5F1"/>
          </w:tcPr>
          <w:p w14:paraId="7E538229"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sz w:val="22"/>
                <w:szCs w:val="22"/>
                <w:lang w:val="en-US"/>
              </w:rPr>
              <w:t xml:space="preserve">ECTS workload </w:t>
            </w:r>
          </w:p>
        </w:tc>
        <w:tc>
          <w:tcPr>
            <w:tcW w:w="7512" w:type="dxa"/>
            <w:shd w:val="clear" w:color="auto" w:fill="DBE5F1"/>
          </w:tcPr>
          <w:p w14:paraId="64B55DE5" w14:textId="77777777" w:rsidR="00AB76A9" w:rsidRPr="00FA591C" w:rsidRDefault="00AB76A9" w:rsidP="00066DBF">
            <w:pPr>
              <w:spacing w:before="20" w:after="20" w:line="240" w:lineRule="auto"/>
              <w:ind w:left="0" w:hanging="2"/>
              <w:jc w:val="left"/>
              <w:rPr>
                <w:rFonts w:asciiTheme="majorHAnsi" w:eastAsia="Calibri" w:hAnsiTheme="majorHAnsi" w:cstheme="majorHAnsi"/>
                <w:color w:val="0070C0"/>
                <w:sz w:val="22"/>
                <w:szCs w:val="22"/>
                <w:lang w:val="en-US"/>
              </w:rPr>
            </w:pPr>
            <w:r w:rsidRPr="00FA591C">
              <w:rPr>
                <w:rFonts w:asciiTheme="majorHAnsi" w:hAnsiTheme="majorHAnsi" w:cstheme="majorHAnsi"/>
                <w:color w:val="000000"/>
                <w:lang w:val="en-US"/>
              </w:rPr>
              <w:t>3 credits (ECTS). Time allotment - 90 hours, including 72 hours of classroom work, and 18 hours of self-study.</w:t>
            </w:r>
            <w:bookmarkStart w:id="1" w:name="_GoBack"/>
            <w:bookmarkEnd w:id="1"/>
          </w:p>
        </w:tc>
      </w:tr>
      <w:tr w:rsidR="00AB76A9" w:rsidRPr="00FA591C" w14:paraId="3288DB68" w14:textId="77777777" w:rsidTr="00066DBF">
        <w:tc>
          <w:tcPr>
            <w:tcW w:w="2694" w:type="dxa"/>
          </w:tcPr>
          <w:p w14:paraId="5BB4EE1F"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Testing and </w:t>
            </w:r>
            <w:r w:rsidRPr="00FA591C">
              <w:rPr>
                <w:rFonts w:ascii="Calibri" w:eastAsia="Calibri" w:hAnsi="Calibri" w:cs="Calibri"/>
                <w:b/>
                <w:sz w:val="22"/>
                <w:szCs w:val="22"/>
                <w:lang w:val="en-US"/>
              </w:rPr>
              <w:t>A</w:t>
            </w:r>
            <w:r w:rsidRPr="00FA591C">
              <w:rPr>
                <w:rFonts w:ascii="Calibri" w:eastAsia="Calibri" w:hAnsi="Calibri" w:cs="Calibri"/>
                <w:b/>
                <w:color w:val="000000"/>
                <w:sz w:val="22"/>
                <w:szCs w:val="22"/>
                <w:lang w:val="en-US"/>
              </w:rPr>
              <w:t xml:space="preserve">ssessment </w:t>
            </w:r>
          </w:p>
        </w:tc>
        <w:tc>
          <w:tcPr>
            <w:tcW w:w="7512" w:type="dxa"/>
          </w:tcPr>
          <w:p w14:paraId="472005BC" w14:textId="77777777" w:rsidR="00AB76A9" w:rsidRPr="00FA591C" w:rsidRDefault="00AB76A9" w:rsidP="00066DBF">
            <w:pPr>
              <w:spacing w:before="20" w:after="20" w:line="240" w:lineRule="auto"/>
              <w:ind w:left="0" w:hanging="2"/>
              <w:jc w:val="left"/>
              <w:rPr>
                <w:rFonts w:asciiTheme="majorHAnsi" w:eastAsia="Calibri" w:hAnsiTheme="majorHAnsi" w:cstheme="majorHAnsi"/>
                <w:color w:val="000000"/>
                <w:sz w:val="22"/>
                <w:szCs w:val="22"/>
                <w:lang w:val="en-US"/>
              </w:rPr>
            </w:pPr>
            <w:r w:rsidRPr="00FA591C">
              <w:rPr>
                <w:rFonts w:asciiTheme="majorHAnsi" w:hAnsiTheme="majorHAnsi" w:cstheme="majorHAnsi"/>
                <w:color w:val="000000"/>
                <w:lang w:val="en-US"/>
              </w:rPr>
              <w:t>Module test in Semester I, Fail/Pass test in Semester II</w:t>
            </w:r>
          </w:p>
        </w:tc>
      </w:tr>
      <w:tr w:rsidR="00AB76A9" w:rsidRPr="00FA591C" w14:paraId="6CC3A2D7" w14:textId="77777777" w:rsidTr="00066DBF">
        <w:tc>
          <w:tcPr>
            <w:tcW w:w="2694" w:type="dxa"/>
            <w:shd w:val="clear" w:color="auto" w:fill="DBE5F1"/>
          </w:tcPr>
          <w:p w14:paraId="47560404"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Course Schedule </w:t>
            </w:r>
          </w:p>
        </w:tc>
        <w:tc>
          <w:tcPr>
            <w:tcW w:w="7512" w:type="dxa"/>
            <w:shd w:val="clear" w:color="auto" w:fill="DBE5F1"/>
          </w:tcPr>
          <w:p w14:paraId="49E4E21F" w14:textId="77777777" w:rsidR="00AB76A9" w:rsidRPr="00FA591C" w:rsidRDefault="00AB76A9" w:rsidP="00066DBF">
            <w:pPr>
              <w:spacing w:before="20" w:after="20" w:line="240" w:lineRule="auto"/>
              <w:ind w:left="0" w:hanging="2"/>
              <w:jc w:val="left"/>
              <w:rPr>
                <w:rFonts w:asciiTheme="majorHAnsi" w:eastAsia="Calibri" w:hAnsiTheme="majorHAnsi" w:cstheme="majorHAnsi"/>
                <w:color w:val="000000"/>
                <w:lang w:val="en-US"/>
              </w:rPr>
            </w:pPr>
            <w:r>
              <w:rPr>
                <w:rFonts w:asciiTheme="majorHAnsi" w:hAnsiTheme="majorHAnsi" w:cstheme="majorHAnsi"/>
                <w:color w:val="000000"/>
                <w:lang w:val="en-US"/>
              </w:rPr>
              <w:t>One class per</w:t>
            </w:r>
            <w:r w:rsidRPr="00FA591C">
              <w:rPr>
                <w:rFonts w:asciiTheme="majorHAnsi" w:hAnsiTheme="majorHAnsi" w:cstheme="majorHAnsi"/>
                <w:color w:val="000000"/>
                <w:lang w:val="en-US"/>
              </w:rPr>
              <w:t xml:space="preserve"> week by the timetable</w:t>
            </w:r>
            <w:r w:rsidRPr="00FA591C">
              <w:rPr>
                <w:rFonts w:asciiTheme="majorHAnsi" w:eastAsia="Calibri" w:hAnsiTheme="majorHAnsi" w:cstheme="majorHAnsi"/>
                <w:color w:val="000000"/>
                <w:lang w:val="en-US"/>
              </w:rPr>
              <w:t xml:space="preserve"> </w:t>
            </w:r>
            <w:hyperlink r:id="rId7">
              <w:r w:rsidRPr="00FA591C">
                <w:rPr>
                  <w:rFonts w:asciiTheme="majorHAnsi" w:hAnsiTheme="majorHAnsi" w:cstheme="majorHAnsi"/>
                  <w:color w:val="0000FF"/>
                  <w:u w:val="single"/>
                  <w:lang w:val="en-US"/>
                </w:rPr>
                <w:t>http://rozklad.kpi.ua/</w:t>
              </w:r>
            </w:hyperlink>
          </w:p>
        </w:tc>
      </w:tr>
      <w:tr w:rsidR="00AB76A9" w:rsidRPr="00FA591C" w14:paraId="5ACA4377" w14:textId="77777777" w:rsidTr="00066DBF">
        <w:tc>
          <w:tcPr>
            <w:tcW w:w="2694" w:type="dxa"/>
          </w:tcPr>
          <w:p w14:paraId="284AFB4E"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Language of </w:t>
            </w:r>
            <w:r w:rsidRPr="00FA591C">
              <w:rPr>
                <w:rFonts w:ascii="Calibri" w:eastAsia="Calibri" w:hAnsi="Calibri" w:cs="Calibri"/>
                <w:b/>
                <w:sz w:val="22"/>
                <w:szCs w:val="22"/>
                <w:lang w:val="en-US"/>
              </w:rPr>
              <w:t>I</w:t>
            </w:r>
            <w:r w:rsidRPr="00FA591C">
              <w:rPr>
                <w:rFonts w:ascii="Calibri" w:eastAsia="Calibri" w:hAnsi="Calibri" w:cs="Calibri"/>
                <w:b/>
                <w:color w:val="000000"/>
                <w:sz w:val="22"/>
                <w:szCs w:val="22"/>
                <w:lang w:val="en-US"/>
              </w:rPr>
              <w:t>nstruction</w:t>
            </w:r>
          </w:p>
        </w:tc>
        <w:tc>
          <w:tcPr>
            <w:tcW w:w="7512" w:type="dxa"/>
          </w:tcPr>
          <w:p w14:paraId="5F97BA13" w14:textId="77777777" w:rsidR="00AB76A9" w:rsidRPr="00FA591C" w:rsidRDefault="00AB76A9" w:rsidP="00066DBF">
            <w:pPr>
              <w:spacing w:before="20" w:after="20" w:line="240"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English</w:t>
            </w:r>
          </w:p>
        </w:tc>
      </w:tr>
      <w:tr w:rsidR="00AB76A9" w:rsidRPr="00FA591C" w14:paraId="53C91BFD" w14:textId="77777777" w:rsidTr="00066DBF">
        <w:tc>
          <w:tcPr>
            <w:tcW w:w="2694" w:type="dxa"/>
            <w:shd w:val="clear" w:color="auto" w:fill="DBE5F1"/>
          </w:tcPr>
          <w:p w14:paraId="1C8B20E5"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Course </w:t>
            </w:r>
            <w:r w:rsidRPr="00FA591C">
              <w:rPr>
                <w:rFonts w:ascii="Calibri" w:eastAsia="Calibri" w:hAnsi="Calibri" w:cs="Calibri"/>
                <w:b/>
                <w:sz w:val="22"/>
                <w:szCs w:val="22"/>
                <w:lang w:val="en-US"/>
              </w:rPr>
              <w:t>I</w:t>
            </w:r>
            <w:r w:rsidRPr="00FA591C">
              <w:rPr>
                <w:rFonts w:ascii="Calibri" w:eastAsia="Calibri" w:hAnsi="Calibri" w:cs="Calibri"/>
                <w:b/>
                <w:color w:val="000000"/>
                <w:sz w:val="22"/>
                <w:szCs w:val="22"/>
                <w:lang w:val="en-US"/>
              </w:rPr>
              <w:t>nstructors</w:t>
            </w:r>
          </w:p>
        </w:tc>
        <w:tc>
          <w:tcPr>
            <w:tcW w:w="7512" w:type="dxa"/>
            <w:shd w:val="clear" w:color="auto" w:fill="DBE5F1"/>
          </w:tcPr>
          <w:p w14:paraId="2079C3EA" w14:textId="77777777" w:rsidR="00AB76A9" w:rsidRPr="00AB76A9" w:rsidRDefault="00AB76A9" w:rsidP="00066DBF">
            <w:pPr>
              <w:spacing w:line="240" w:lineRule="auto"/>
              <w:ind w:left="0" w:hanging="2"/>
              <w:jc w:val="left"/>
              <w:rPr>
                <w:rFonts w:asciiTheme="majorHAnsi" w:hAnsiTheme="majorHAnsi" w:cstheme="majorHAnsi"/>
                <w:color w:val="000000"/>
                <w:lang w:val="en-US"/>
              </w:rPr>
            </w:pPr>
            <w:r w:rsidRPr="00AB76A9">
              <w:rPr>
                <w:rFonts w:asciiTheme="majorHAnsi" w:hAnsiTheme="majorHAnsi" w:cstheme="majorHAnsi"/>
                <w:color w:val="000000"/>
                <w:lang w:val="en-US"/>
              </w:rPr>
              <w:t>Associate professor Kolosova Hanna</w:t>
            </w:r>
          </w:p>
          <w:p w14:paraId="7A5DAFDC" w14:textId="77777777" w:rsidR="00AB76A9" w:rsidRPr="00AB76A9" w:rsidRDefault="00AB76A9" w:rsidP="00066DBF">
            <w:pPr>
              <w:spacing w:line="240" w:lineRule="auto"/>
              <w:ind w:left="0" w:hanging="2"/>
              <w:jc w:val="left"/>
              <w:rPr>
                <w:rFonts w:asciiTheme="majorHAnsi" w:hAnsiTheme="majorHAnsi" w:cstheme="majorHAnsi"/>
                <w:color w:val="000000"/>
                <w:lang w:val="en-US"/>
              </w:rPr>
            </w:pPr>
            <w:r w:rsidRPr="00AB76A9">
              <w:rPr>
                <w:rFonts w:asciiTheme="majorHAnsi" w:hAnsiTheme="majorHAnsi" w:cstheme="majorHAnsi"/>
                <w:color w:val="000000"/>
                <w:lang w:val="en-US"/>
              </w:rPr>
              <w:t>Phone: 044 204 82 05</w:t>
            </w:r>
          </w:p>
          <w:p w14:paraId="7730928A" w14:textId="77777777" w:rsidR="00AB76A9" w:rsidRPr="00AB76A9" w:rsidRDefault="00AB76A9" w:rsidP="00066DBF">
            <w:pPr>
              <w:spacing w:line="240" w:lineRule="auto"/>
              <w:ind w:left="0" w:hanging="2"/>
              <w:jc w:val="left"/>
              <w:rPr>
                <w:rFonts w:asciiTheme="majorHAnsi" w:hAnsiTheme="majorHAnsi" w:cstheme="majorHAnsi"/>
                <w:color w:val="000000"/>
                <w:lang w:val="en-US"/>
              </w:rPr>
            </w:pPr>
            <w:r w:rsidRPr="00AB76A9">
              <w:rPr>
                <w:rFonts w:asciiTheme="majorHAnsi" w:hAnsiTheme="majorHAnsi" w:cstheme="majorHAnsi"/>
                <w:color w:val="000000"/>
                <w:lang w:val="en-US"/>
              </w:rPr>
              <w:t xml:space="preserve">E-mail: </w:t>
            </w:r>
            <w:hyperlink r:id="rId8" w:history="1">
              <w:r w:rsidRPr="00AB76A9">
                <w:rPr>
                  <w:rStyle w:val="a3"/>
                  <w:rFonts w:asciiTheme="majorHAnsi" w:hAnsiTheme="majorHAnsi" w:cstheme="majorHAnsi"/>
                  <w:color w:val="auto"/>
                  <w:lang w:val="en-US"/>
                </w:rPr>
                <w:t>kolosova.hanna@lll</w:t>
              </w:r>
            </w:hyperlink>
            <w:r w:rsidRPr="00AB76A9">
              <w:rPr>
                <w:rFonts w:asciiTheme="majorHAnsi" w:hAnsiTheme="majorHAnsi" w:cstheme="majorHAnsi"/>
                <w:u w:val="single"/>
                <w:lang w:val="en-US"/>
              </w:rPr>
              <w:t>.kpi.ua</w:t>
            </w:r>
            <w:r w:rsidRPr="00AB76A9">
              <w:rPr>
                <w:rFonts w:asciiTheme="majorHAnsi" w:hAnsiTheme="majorHAnsi" w:cstheme="majorHAnsi"/>
                <w:color w:val="000000"/>
                <w:lang w:val="en-US"/>
              </w:rPr>
              <w:t xml:space="preserve"> </w:t>
            </w:r>
          </w:p>
          <w:p w14:paraId="1D72AFA5" w14:textId="77777777" w:rsidR="00AB76A9" w:rsidRPr="00AB76A9" w:rsidRDefault="00AB76A9" w:rsidP="00066DBF">
            <w:pPr>
              <w:spacing w:line="240" w:lineRule="auto"/>
              <w:ind w:left="0" w:hanging="2"/>
              <w:jc w:val="left"/>
              <w:rPr>
                <w:rFonts w:asciiTheme="majorHAnsi" w:hAnsiTheme="majorHAnsi" w:cstheme="majorHAnsi"/>
                <w:color w:val="000000"/>
                <w:lang w:val="en-US"/>
              </w:rPr>
            </w:pPr>
            <w:r w:rsidRPr="00AB76A9">
              <w:rPr>
                <w:rFonts w:asciiTheme="majorHAnsi" w:hAnsiTheme="majorHAnsi" w:cstheme="majorHAnsi"/>
                <w:color w:val="000000"/>
                <w:lang w:val="en-US"/>
              </w:rPr>
              <w:t xml:space="preserve">Profile: </w:t>
            </w:r>
            <w:r w:rsidRPr="00AB76A9">
              <w:rPr>
                <w:rFonts w:asciiTheme="majorHAnsi" w:hAnsiTheme="majorHAnsi" w:cstheme="majorHAnsi"/>
              </w:rPr>
              <w:t>https://kamgs3.kpi.ua/node/323</w:t>
            </w:r>
          </w:p>
        </w:tc>
      </w:tr>
      <w:tr w:rsidR="00AB76A9" w:rsidRPr="00FA591C" w14:paraId="1B522050" w14:textId="77777777" w:rsidTr="00066DBF">
        <w:tc>
          <w:tcPr>
            <w:tcW w:w="2694" w:type="dxa"/>
          </w:tcPr>
          <w:p w14:paraId="6543AAF3" w14:textId="77777777" w:rsidR="00AB76A9" w:rsidRPr="00FA591C" w:rsidRDefault="00AB76A9" w:rsidP="00066DBF">
            <w:pPr>
              <w:spacing w:before="20" w:after="20" w:line="240" w:lineRule="auto"/>
              <w:ind w:left="0" w:hanging="2"/>
              <w:jc w:val="left"/>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Access to the Course</w:t>
            </w:r>
          </w:p>
        </w:tc>
        <w:tc>
          <w:tcPr>
            <w:tcW w:w="7512" w:type="dxa"/>
          </w:tcPr>
          <w:p w14:paraId="700217A6" w14:textId="77777777" w:rsidR="00AB76A9" w:rsidRPr="00AB76A9" w:rsidRDefault="00AB76A9" w:rsidP="00066DBF">
            <w:pPr>
              <w:spacing w:before="20" w:after="20" w:line="240" w:lineRule="auto"/>
              <w:ind w:left="0" w:hanging="2"/>
              <w:jc w:val="left"/>
              <w:rPr>
                <w:rFonts w:asciiTheme="majorHAnsi" w:eastAsia="Calibri" w:hAnsiTheme="majorHAnsi" w:cstheme="majorHAnsi"/>
                <w:lang w:val="en-US"/>
              </w:rPr>
            </w:pPr>
            <w:r w:rsidRPr="00AB76A9">
              <w:rPr>
                <w:rFonts w:asciiTheme="majorHAnsi" w:hAnsiTheme="majorHAnsi" w:cstheme="majorHAnsi"/>
                <w:lang w:val="en-US"/>
              </w:rPr>
              <w:t xml:space="preserve">Code </w:t>
            </w:r>
            <w:r w:rsidRPr="00AB76A9">
              <w:rPr>
                <w:rFonts w:asciiTheme="majorHAnsi" w:hAnsiTheme="majorHAnsi" w:cstheme="majorHAnsi"/>
                <w:shd w:val="clear" w:color="auto" w:fill="FFFFFF"/>
              </w:rPr>
              <w:t>qv2gfvo</w:t>
            </w:r>
          </w:p>
        </w:tc>
      </w:tr>
    </w:tbl>
    <w:p w14:paraId="38AE4AD8" w14:textId="77777777" w:rsidR="00AB76A9" w:rsidRPr="00FA591C" w:rsidRDefault="00AB76A9" w:rsidP="00AB76A9">
      <w:pPr>
        <w:keepNext/>
        <w:shd w:val="clear" w:color="auto" w:fill="BFBFBF"/>
        <w:spacing w:before="120" w:line="240" w:lineRule="auto"/>
        <w:ind w:left="0" w:hanging="2"/>
        <w:rPr>
          <w:rFonts w:ascii="Calibri" w:eastAsia="Calibri" w:hAnsi="Calibri" w:cs="Calibri"/>
          <w:color w:val="002060"/>
          <w:lang w:val="en-US"/>
        </w:rPr>
      </w:pPr>
      <w:r w:rsidRPr="00FA591C">
        <w:rPr>
          <w:rFonts w:ascii="Calibri" w:eastAsia="Calibri" w:hAnsi="Calibri" w:cs="Calibri"/>
          <w:b/>
          <w:color w:val="002060"/>
          <w:lang w:val="en-US"/>
        </w:rPr>
        <w:t>Outline of the Course</w:t>
      </w:r>
    </w:p>
    <w:p w14:paraId="117A19A3" w14:textId="77777777" w:rsidR="00AB76A9" w:rsidRPr="00FA591C" w:rsidRDefault="00AB76A9" w:rsidP="00AB76A9">
      <w:pPr>
        <w:keepNext/>
        <w:numPr>
          <w:ilvl w:val="0"/>
          <w:numId w:val="1"/>
        </w:numPr>
        <w:spacing w:after="120" w:line="216" w:lineRule="auto"/>
        <w:ind w:left="0" w:hanging="2"/>
        <w:jc w:val="left"/>
        <w:rPr>
          <w:rFonts w:ascii="Calibri" w:eastAsia="Calibri" w:hAnsi="Calibri" w:cs="Calibri"/>
          <w:color w:val="002060"/>
          <w:lang w:val="en-US"/>
        </w:rPr>
      </w:pPr>
      <w:r w:rsidRPr="00FA591C">
        <w:rPr>
          <w:rFonts w:ascii="Calibri" w:eastAsia="Calibri" w:hAnsi="Calibri" w:cs="Calibri"/>
          <w:b/>
          <w:color w:val="002060"/>
          <w:lang w:val="en-US"/>
        </w:rPr>
        <w:t>Course description, goals, objectives, and learning outcomes</w:t>
      </w:r>
    </w:p>
    <w:p w14:paraId="14363B8A"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The curriculum of “Foreign Language” educational program is part of the training in humanities and social and economic studies, and intends to develop foreign language communicative competence required for interaction in everyday and professional contexts.</w:t>
      </w:r>
    </w:p>
    <w:p w14:paraId="7F96CEE2" w14:textId="77777777" w:rsidR="00AB76A9" w:rsidRPr="00FA591C" w:rsidRDefault="00AB76A9" w:rsidP="00AB76A9">
      <w:pPr>
        <w:spacing w:line="240" w:lineRule="auto"/>
        <w:ind w:left="0" w:hanging="2"/>
        <w:jc w:val="both"/>
        <w:rPr>
          <w:rFonts w:asciiTheme="majorHAnsi" w:hAnsiTheme="majorHAnsi" w:cstheme="majorHAnsi"/>
          <w:lang w:val="en-US"/>
        </w:rPr>
      </w:pPr>
      <w:r w:rsidRPr="00FA591C">
        <w:rPr>
          <w:rFonts w:asciiTheme="majorHAnsi" w:hAnsiTheme="majorHAnsi" w:cstheme="majorHAnsi"/>
          <w:lang w:val="en-US"/>
        </w:rPr>
        <w:t>The goal of the “Practical Course of English-I” is to enable first year students to gain knowledge and improve their English skills to communicate effectively in various types of social and academic contexts of intercultural communication.</w:t>
      </w:r>
    </w:p>
    <w:p w14:paraId="578BA551" w14:textId="77777777" w:rsidR="00AB76A9" w:rsidRPr="00FA591C" w:rsidRDefault="00AB76A9" w:rsidP="00AB76A9">
      <w:pPr>
        <w:spacing w:line="240" w:lineRule="auto"/>
        <w:ind w:left="0" w:hanging="2"/>
        <w:jc w:val="both"/>
        <w:rPr>
          <w:rFonts w:asciiTheme="majorHAnsi" w:hAnsiTheme="majorHAnsi" w:cstheme="majorHAnsi"/>
          <w:lang w:val="en-US"/>
        </w:rPr>
      </w:pPr>
      <w:r w:rsidRPr="00FA591C">
        <w:rPr>
          <w:rFonts w:asciiTheme="majorHAnsi" w:hAnsiTheme="majorHAnsi" w:cstheme="majorHAnsi"/>
          <w:lang w:val="en-US"/>
        </w:rPr>
        <w:t>When taking the course, students are developing their language skills towards B1+ level, whose descriptors comprise:</w:t>
      </w:r>
    </w:p>
    <w:p w14:paraId="2351FFF3" w14:textId="77777777" w:rsidR="00AB76A9" w:rsidRPr="00FA591C" w:rsidRDefault="00AB76A9" w:rsidP="00AB76A9">
      <w:pPr>
        <w:spacing w:line="240" w:lineRule="auto"/>
        <w:ind w:left="0" w:hanging="2"/>
        <w:jc w:val="both"/>
        <w:rPr>
          <w:rFonts w:asciiTheme="majorHAnsi" w:hAnsiTheme="majorHAnsi" w:cstheme="majorHAnsi"/>
          <w:lang w:val="en-US"/>
        </w:rPr>
      </w:pPr>
    </w:p>
    <w:p w14:paraId="1BD4D9DB"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 listening (understanding the general information of most of the listening texts provided the speech is relatively clear and slow and the topic of discussion is familiar),</w:t>
      </w:r>
    </w:p>
    <w:p w14:paraId="4FB67276"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 speaking (logically structuring statements on a known conversation topic and exchange information about personal and professional interests in the typical informal communication settings),</w:t>
      </w:r>
    </w:p>
    <w:p w14:paraId="2551F2C8"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 reading (skimming, scanning and detail reading skills, knowing the terminology related to everyday, academic and professional communication, ability to use dictionaries and other reference resources),</w:t>
      </w:r>
    </w:p>
    <w:p w14:paraId="53DBBB4C"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 writing (constructing a well-designed written message by following the layout and genre norms, exchanging information obtained from listening or reading texts in an informal letter/e-mail) and translating everyday life, business and general engineering texts.</w:t>
      </w:r>
    </w:p>
    <w:p w14:paraId="2FAD27E1"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lastRenderedPageBreak/>
        <w:t>Also, the course contributes to the development of creativity and trains students to work with English language materials on their own.</w:t>
      </w:r>
    </w:p>
    <w:p w14:paraId="20DFB157" w14:textId="77777777" w:rsidR="00AB76A9" w:rsidRDefault="00AB76A9" w:rsidP="00AB76A9">
      <w:pPr>
        <w:spacing w:line="240" w:lineRule="auto"/>
        <w:ind w:left="0" w:hanging="2"/>
        <w:jc w:val="both"/>
        <w:rPr>
          <w:color w:val="000000"/>
        </w:rPr>
      </w:pPr>
    </w:p>
    <w:p w14:paraId="40A31ED6" w14:textId="77777777" w:rsidR="00AB76A9" w:rsidRDefault="00AB76A9" w:rsidP="00AB76A9">
      <w:pPr>
        <w:keepNext/>
        <w:numPr>
          <w:ilvl w:val="0"/>
          <w:numId w:val="1"/>
        </w:numPr>
        <w:spacing w:before="120" w:after="120" w:line="240" w:lineRule="auto"/>
        <w:ind w:left="0" w:hanging="2"/>
        <w:jc w:val="left"/>
        <w:rPr>
          <w:rFonts w:ascii="Calibri" w:eastAsia="Calibri" w:hAnsi="Calibri" w:cs="Calibri"/>
          <w:color w:val="002060"/>
        </w:rPr>
      </w:pPr>
      <w:proofErr w:type="spellStart"/>
      <w:r>
        <w:rPr>
          <w:rFonts w:ascii="Calibri" w:eastAsia="Calibri" w:hAnsi="Calibri" w:cs="Calibri"/>
          <w:b/>
          <w:color w:val="002060"/>
        </w:rPr>
        <w:t>Prerequisites</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and</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post-requisites</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of</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the</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course</w:t>
      </w:r>
      <w:proofErr w:type="spellEnd"/>
    </w:p>
    <w:p w14:paraId="4CE2D57A" w14:textId="77777777" w:rsidR="00AB76A9" w:rsidRPr="00FA591C" w:rsidRDefault="00AB76A9" w:rsidP="00AB76A9">
      <w:pPr>
        <w:spacing w:after="120" w:line="276" w:lineRule="auto"/>
        <w:ind w:left="0" w:hanging="2"/>
        <w:jc w:val="both"/>
        <w:rPr>
          <w:rFonts w:asciiTheme="majorHAnsi" w:hAnsiTheme="majorHAnsi" w:cstheme="majorHAnsi"/>
          <w:highlight w:val="white"/>
          <w:lang w:val="en-US"/>
        </w:rPr>
      </w:pPr>
      <w:r w:rsidRPr="00FA591C">
        <w:rPr>
          <w:rFonts w:asciiTheme="majorHAnsi" w:hAnsiTheme="majorHAnsi" w:cstheme="majorHAnsi"/>
          <w:color w:val="000000"/>
          <w:lang w:val="en-US"/>
        </w:rPr>
        <w:t>Pre-requisites</w:t>
      </w:r>
      <w:r w:rsidRPr="00FA591C">
        <w:rPr>
          <w:rFonts w:asciiTheme="majorHAnsi" w:hAnsiTheme="majorHAnsi" w:cstheme="majorHAnsi"/>
          <w:color w:val="000000"/>
          <w:highlight w:val="white"/>
          <w:lang w:val="en-US"/>
        </w:rPr>
        <w:t xml:space="preserve">: </w:t>
      </w:r>
      <w:r w:rsidRPr="00FA591C">
        <w:rPr>
          <w:rFonts w:asciiTheme="majorHAnsi" w:hAnsiTheme="majorHAnsi" w:cstheme="majorHAnsi"/>
          <w:highlight w:val="white"/>
          <w:lang w:val="en-US"/>
        </w:rPr>
        <w:t xml:space="preserve">B1 </w:t>
      </w:r>
      <w:r w:rsidRPr="00FA591C">
        <w:rPr>
          <w:rFonts w:asciiTheme="majorHAnsi" w:hAnsiTheme="majorHAnsi" w:cstheme="majorHAnsi"/>
          <w:color w:val="000000"/>
          <w:highlight w:val="white"/>
          <w:lang w:val="en-US"/>
        </w:rPr>
        <w:t>level of English (CEFR), acquired by completing the school English language course</w:t>
      </w:r>
    </w:p>
    <w:p w14:paraId="35248C14" w14:textId="77777777" w:rsidR="00AB76A9" w:rsidRPr="00FA591C" w:rsidRDefault="00AB76A9" w:rsidP="00AB76A9">
      <w:pPr>
        <w:spacing w:after="120" w:line="276" w:lineRule="auto"/>
        <w:ind w:left="0" w:hanging="2"/>
        <w:jc w:val="both"/>
        <w:rPr>
          <w:rFonts w:asciiTheme="majorHAnsi" w:hAnsiTheme="majorHAnsi" w:cstheme="majorHAnsi"/>
          <w:color w:val="000000"/>
          <w:highlight w:val="white"/>
          <w:lang w:val="en-US"/>
        </w:rPr>
      </w:pPr>
      <w:r w:rsidRPr="00FA591C">
        <w:rPr>
          <w:rFonts w:asciiTheme="majorHAnsi" w:hAnsiTheme="majorHAnsi" w:cstheme="majorHAnsi"/>
          <w:color w:val="000000"/>
          <w:lang w:val="en-US"/>
        </w:rPr>
        <w:t>Post-requisites</w:t>
      </w:r>
      <w:r w:rsidRPr="00FA591C">
        <w:rPr>
          <w:rFonts w:asciiTheme="majorHAnsi" w:hAnsiTheme="majorHAnsi" w:cstheme="majorHAnsi"/>
          <w:color w:val="000000"/>
          <w:highlight w:val="white"/>
          <w:lang w:val="en-US"/>
        </w:rPr>
        <w:t xml:space="preserve">: ability to further study by </w:t>
      </w:r>
      <w:r w:rsidRPr="00FA591C">
        <w:rPr>
          <w:rFonts w:asciiTheme="majorHAnsi" w:hAnsiTheme="majorHAnsi" w:cstheme="majorHAnsi"/>
          <w:color w:val="000000"/>
          <w:lang w:val="en-US"/>
        </w:rPr>
        <w:t xml:space="preserve">the curriculum of “Foreign Language” educational program and take “Practice Course of English-II” in order to obtain </w:t>
      </w:r>
      <w:r w:rsidRPr="00FA591C">
        <w:rPr>
          <w:rFonts w:asciiTheme="majorHAnsi" w:hAnsiTheme="majorHAnsi" w:cstheme="majorHAnsi"/>
          <w:color w:val="000000"/>
          <w:highlight w:val="white"/>
          <w:lang w:val="en-US"/>
        </w:rPr>
        <w:t>В1+ level of English.</w:t>
      </w:r>
    </w:p>
    <w:p w14:paraId="561E9E2D" w14:textId="77777777" w:rsidR="00AB76A9" w:rsidRDefault="00AB76A9" w:rsidP="00AB76A9">
      <w:pPr>
        <w:keepNext/>
        <w:numPr>
          <w:ilvl w:val="0"/>
          <w:numId w:val="1"/>
        </w:numPr>
        <w:spacing w:before="120" w:after="120" w:line="240" w:lineRule="auto"/>
        <w:ind w:left="0" w:hanging="2"/>
        <w:jc w:val="left"/>
        <w:rPr>
          <w:rFonts w:ascii="Calibri" w:eastAsia="Calibri" w:hAnsi="Calibri" w:cs="Calibri"/>
          <w:color w:val="002060"/>
        </w:rPr>
      </w:pPr>
      <w:proofErr w:type="spellStart"/>
      <w:r>
        <w:rPr>
          <w:rFonts w:ascii="Calibri" w:eastAsia="Calibri" w:hAnsi="Calibri" w:cs="Calibri"/>
          <w:b/>
          <w:color w:val="002060"/>
        </w:rPr>
        <w:t>Content</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of</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the</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course</w:t>
      </w:r>
      <w:proofErr w:type="spellEnd"/>
    </w:p>
    <w:p w14:paraId="6FA7060D" w14:textId="77777777" w:rsidR="00AB76A9" w:rsidRPr="00FA591C" w:rsidRDefault="00AB76A9" w:rsidP="00AB76A9">
      <w:pPr>
        <w:spacing w:line="240" w:lineRule="auto"/>
        <w:ind w:left="0" w:hanging="2"/>
        <w:rPr>
          <w:rFonts w:asciiTheme="majorHAnsi" w:hAnsiTheme="majorHAnsi" w:cstheme="majorHAnsi"/>
          <w:color w:val="000000"/>
          <w:lang w:val="en-US"/>
        </w:rPr>
      </w:pPr>
      <w:r w:rsidRPr="00FA591C">
        <w:rPr>
          <w:rFonts w:asciiTheme="majorHAnsi" w:hAnsiTheme="majorHAnsi" w:cstheme="majorHAnsi"/>
          <w:color w:val="000000"/>
          <w:lang w:val="en-US"/>
        </w:rPr>
        <w:t>Semester I</w:t>
      </w:r>
    </w:p>
    <w:p w14:paraId="75A01B87" w14:textId="77777777" w:rsidR="00AB76A9" w:rsidRPr="00FA591C" w:rsidRDefault="00AB76A9" w:rsidP="00AB76A9">
      <w:pPr>
        <w:spacing w:line="276" w:lineRule="auto"/>
        <w:ind w:left="0" w:hanging="2"/>
        <w:jc w:val="both"/>
        <w:rPr>
          <w:rFonts w:asciiTheme="majorHAnsi" w:hAnsiTheme="majorHAnsi" w:cstheme="majorHAnsi"/>
          <w:color w:val="000000"/>
          <w:sz w:val="28"/>
          <w:szCs w:val="28"/>
          <w:lang w:val="en-US"/>
        </w:rPr>
      </w:pPr>
      <w:r w:rsidRPr="00FA591C">
        <w:rPr>
          <w:rFonts w:asciiTheme="majorHAnsi" w:hAnsiTheme="majorHAnsi" w:cstheme="majorHAnsi"/>
          <w:color w:val="000000"/>
          <w:lang w:val="en-US"/>
        </w:rPr>
        <w:t>My University: “Igor Sikorsky KPI”. Question forms</w:t>
      </w:r>
    </w:p>
    <w:p w14:paraId="1A4CFF29" w14:textId="77777777" w:rsidR="00AB76A9" w:rsidRPr="00FA591C" w:rsidRDefault="00AB76A9" w:rsidP="00AB76A9">
      <w:pPr>
        <w:spacing w:line="276" w:lineRule="auto"/>
        <w:ind w:left="0" w:hanging="2"/>
        <w:jc w:val="both"/>
        <w:rPr>
          <w:rFonts w:asciiTheme="majorHAnsi" w:hAnsiTheme="majorHAnsi" w:cstheme="majorHAnsi"/>
          <w:color w:val="000000"/>
          <w:sz w:val="28"/>
          <w:szCs w:val="28"/>
          <w:lang w:val="en-US"/>
        </w:rPr>
      </w:pPr>
      <w:r w:rsidRPr="00FA591C">
        <w:rPr>
          <w:rFonts w:asciiTheme="majorHAnsi" w:hAnsiTheme="majorHAnsi" w:cstheme="majorHAnsi"/>
          <w:color w:val="000000"/>
          <w:lang w:val="en-US"/>
        </w:rPr>
        <w:t>Time and Dates. Present Simple</w:t>
      </w:r>
    </w:p>
    <w:p w14:paraId="16E577C7"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Weather. Past Simple</w:t>
      </w:r>
    </w:p>
    <w:p w14:paraId="7C30C363"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Biography. Family. The Pronoun</w:t>
      </w:r>
    </w:p>
    <w:p w14:paraId="75C4B2B5"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Identity. Review of verb tenses</w:t>
      </w:r>
    </w:p>
    <w:p w14:paraId="1608D2CD" w14:textId="77777777" w:rsidR="00AB76A9" w:rsidRPr="00FA591C" w:rsidRDefault="00AB76A9" w:rsidP="00AB76A9">
      <w:pPr>
        <w:widowControl w:val="0"/>
        <w:spacing w:before="20"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Tales. Present Perfect and Past Simple</w:t>
      </w:r>
    </w:p>
    <w:p w14:paraId="6B8BBE7D" w14:textId="77777777" w:rsidR="00AB76A9" w:rsidRPr="00FA591C" w:rsidRDefault="00AB76A9" w:rsidP="00AB76A9">
      <w:pPr>
        <w:widowControl w:val="0"/>
        <w:spacing w:before="20"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Telling a story. Narrative tenses</w:t>
      </w:r>
    </w:p>
    <w:p w14:paraId="6B17AE34"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Future. The Future (plans, predictions)</w:t>
      </w:r>
    </w:p>
    <w:p w14:paraId="0682F735" w14:textId="77777777" w:rsidR="00AB76A9" w:rsidRPr="00FA591C" w:rsidRDefault="00AB76A9" w:rsidP="00AB76A9">
      <w:pPr>
        <w:widowControl w:val="0"/>
        <w:spacing w:before="40"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Dealing with understanding. Revision</w:t>
      </w:r>
    </w:p>
    <w:p w14:paraId="69525889" w14:textId="77777777" w:rsidR="00AB76A9" w:rsidRPr="00FA591C" w:rsidRDefault="00AB76A9" w:rsidP="00AB76A9">
      <w:pPr>
        <w:spacing w:line="240" w:lineRule="auto"/>
        <w:ind w:left="0" w:hanging="2"/>
        <w:rPr>
          <w:rFonts w:asciiTheme="majorHAnsi" w:hAnsiTheme="majorHAnsi" w:cstheme="majorHAnsi"/>
          <w:color w:val="000000"/>
          <w:lang w:val="en-US"/>
        </w:rPr>
      </w:pPr>
    </w:p>
    <w:p w14:paraId="171B6706" w14:textId="77777777" w:rsidR="00AB76A9" w:rsidRPr="00FA591C" w:rsidRDefault="00AB76A9" w:rsidP="00AB76A9">
      <w:pPr>
        <w:spacing w:line="240"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Semester II</w:t>
      </w:r>
    </w:p>
    <w:p w14:paraId="114C1033"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Great Britain and London. Articles and Modifiers</w:t>
      </w:r>
    </w:p>
    <w:p w14:paraId="2E161ECA"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We study English. The Plural of Nouns</w:t>
      </w:r>
    </w:p>
    <w:p w14:paraId="21A7EFF2"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Ukraine and Kyiv. Countable/ Uncountable Nouns</w:t>
      </w:r>
    </w:p>
    <w:p w14:paraId="42ACD21C" w14:textId="77777777" w:rsidR="00AB76A9" w:rsidRPr="00FA591C" w:rsidRDefault="00AB76A9" w:rsidP="00AB76A9">
      <w:pPr>
        <w:spacing w:line="276"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USA and Washington DC. Prepositions of time and place</w:t>
      </w:r>
    </w:p>
    <w:p w14:paraId="7B0542AD" w14:textId="77777777" w:rsidR="00AB76A9" w:rsidRPr="00FA591C" w:rsidRDefault="00AB76A9" w:rsidP="00AB76A9">
      <w:pPr>
        <w:widowControl w:val="0"/>
        <w:spacing w:before="20"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 xml:space="preserve">Jobs. Modals of obligation: </w:t>
      </w:r>
      <w:r w:rsidRPr="00FA591C">
        <w:rPr>
          <w:rFonts w:asciiTheme="majorHAnsi" w:hAnsiTheme="majorHAnsi" w:cstheme="majorHAnsi"/>
          <w:i/>
          <w:color w:val="000000"/>
          <w:lang w:val="en-US"/>
        </w:rPr>
        <w:t>must/ have to/ should</w:t>
      </w:r>
    </w:p>
    <w:p w14:paraId="13DBE421" w14:textId="77777777" w:rsidR="00AB76A9" w:rsidRPr="00FA591C" w:rsidRDefault="00AB76A9" w:rsidP="00AB76A9">
      <w:pPr>
        <w:tabs>
          <w:tab w:val="left" w:pos="5495"/>
          <w:tab w:val="left" w:pos="6548"/>
          <w:tab w:val="left" w:pos="7948"/>
        </w:tabs>
        <w:spacing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Reaching agreement. Revision</w:t>
      </w:r>
    </w:p>
    <w:p w14:paraId="75CB946F" w14:textId="77777777" w:rsidR="00AB76A9" w:rsidRPr="00FA591C" w:rsidRDefault="00AB76A9" w:rsidP="00AB76A9">
      <w:pPr>
        <w:widowControl w:val="0"/>
        <w:spacing w:before="20"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Solutions. Comparatives and Superlatives</w:t>
      </w:r>
    </w:p>
    <w:p w14:paraId="1E0A6D59" w14:textId="77777777" w:rsidR="00AB76A9" w:rsidRPr="00FA591C" w:rsidRDefault="00AB76A9" w:rsidP="00AB76A9">
      <w:pPr>
        <w:tabs>
          <w:tab w:val="left" w:pos="5495"/>
          <w:tab w:val="left" w:pos="6548"/>
          <w:tab w:val="left" w:pos="7948"/>
        </w:tabs>
        <w:spacing w:line="276" w:lineRule="auto"/>
        <w:ind w:left="0" w:hanging="2"/>
        <w:jc w:val="left"/>
        <w:rPr>
          <w:rFonts w:asciiTheme="majorHAnsi" w:hAnsiTheme="majorHAnsi" w:cstheme="majorHAnsi"/>
          <w:color w:val="000000"/>
          <w:lang w:val="en-US"/>
        </w:rPr>
      </w:pPr>
      <w:r w:rsidRPr="00FA591C">
        <w:rPr>
          <w:rFonts w:asciiTheme="majorHAnsi" w:hAnsiTheme="majorHAnsi" w:cstheme="majorHAnsi"/>
          <w:color w:val="000000"/>
          <w:lang w:val="en-US"/>
        </w:rPr>
        <w:t>Polite requests. Question tags</w:t>
      </w:r>
    </w:p>
    <w:p w14:paraId="1111AF19" w14:textId="77777777" w:rsidR="00AB76A9" w:rsidRDefault="00AB76A9" w:rsidP="00AB76A9">
      <w:pPr>
        <w:spacing w:after="120" w:line="240" w:lineRule="auto"/>
        <w:ind w:left="0" w:hanging="2"/>
        <w:jc w:val="both"/>
        <w:rPr>
          <w:rFonts w:ascii="Calibri" w:eastAsia="Calibri" w:hAnsi="Calibri" w:cs="Calibri"/>
          <w:color w:val="0070C0"/>
        </w:rPr>
      </w:pPr>
    </w:p>
    <w:p w14:paraId="6E771BA9" w14:textId="77777777" w:rsidR="00AB76A9" w:rsidRPr="00FA591C" w:rsidRDefault="00AB76A9" w:rsidP="00AB76A9">
      <w:pPr>
        <w:keepNext/>
        <w:numPr>
          <w:ilvl w:val="0"/>
          <w:numId w:val="1"/>
        </w:numPr>
        <w:spacing w:before="120" w:after="120" w:line="216" w:lineRule="auto"/>
        <w:ind w:left="0" w:hanging="2"/>
        <w:jc w:val="left"/>
        <w:rPr>
          <w:rFonts w:ascii="Calibri" w:eastAsia="Calibri" w:hAnsi="Calibri" w:cs="Calibri"/>
          <w:color w:val="002060"/>
          <w:lang w:val="en-US"/>
        </w:rPr>
      </w:pPr>
      <w:r w:rsidRPr="00FA591C">
        <w:rPr>
          <w:rFonts w:ascii="Calibri" w:eastAsia="Calibri" w:hAnsi="Calibri" w:cs="Calibri"/>
          <w:b/>
          <w:color w:val="002060"/>
          <w:lang w:val="en-US"/>
        </w:rPr>
        <w:t>Coursebooks and teaching resources</w:t>
      </w:r>
    </w:p>
    <w:p w14:paraId="6A6D0A78"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Coursebooks:</w:t>
      </w:r>
    </w:p>
    <w:p w14:paraId="743782F8"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1. Clare, A. &amp; Wilson, J.J. (2015). </w:t>
      </w:r>
      <w:proofErr w:type="spellStart"/>
      <w:r w:rsidRPr="00FA591C">
        <w:rPr>
          <w:rFonts w:asciiTheme="majorHAnsi" w:hAnsiTheme="majorHAnsi" w:cstheme="majorHAnsi"/>
          <w:i/>
          <w:lang w:val="en-US"/>
        </w:rPr>
        <w:t>Speakout</w:t>
      </w:r>
      <w:proofErr w:type="spellEnd"/>
      <w:r w:rsidRPr="00FA591C">
        <w:rPr>
          <w:rFonts w:asciiTheme="majorHAnsi" w:hAnsiTheme="majorHAnsi" w:cstheme="majorHAnsi"/>
          <w:i/>
          <w:lang w:val="en-US"/>
        </w:rPr>
        <w:t>. Intermediate. Students’ Book</w:t>
      </w:r>
      <w:r w:rsidRPr="00FA591C">
        <w:rPr>
          <w:rFonts w:asciiTheme="majorHAnsi" w:hAnsiTheme="majorHAnsi" w:cstheme="majorHAnsi"/>
          <w:lang w:val="en-US"/>
        </w:rPr>
        <w:t>. Second edition. Pearson Education Limited, 176</w:t>
      </w:r>
    </w:p>
    <w:p w14:paraId="10A85B15"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2. Clare, A. &amp; Wilson, J.J. (2013). </w:t>
      </w:r>
      <w:proofErr w:type="spellStart"/>
      <w:r w:rsidRPr="00FA591C">
        <w:rPr>
          <w:rFonts w:asciiTheme="majorHAnsi" w:hAnsiTheme="majorHAnsi" w:cstheme="majorHAnsi"/>
          <w:i/>
          <w:lang w:val="en-US"/>
        </w:rPr>
        <w:t>Speakout</w:t>
      </w:r>
      <w:proofErr w:type="spellEnd"/>
      <w:r w:rsidRPr="00FA591C">
        <w:rPr>
          <w:rFonts w:asciiTheme="majorHAnsi" w:hAnsiTheme="majorHAnsi" w:cstheme="majorHAnsi"/>
          <w:i/>
          <w:lang w:val="en-US"/>
        </w:rPr>
        <w:t>. Pre-Intermediate. Students’ Book.</w:t>
      </w:r>
      <w:r w:rsidRPr="00FA591C">
        <w:rPr>
          <w:rFonts w:asciiTheme="majorHAnsi" w:hAnsiTheme="majorHAnsi" w:cstheme="majorHAnsi"/>
          <w:lang w:val="en-US"/>
        </w:rPr>
        <w:t xml:space="preserve"> Second edition. Pearson Education Limited, 167.</w:t>
      </w:r>
    </w:p>
    <w:p w14:paraId="25BAF931"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3. </w:t>
      </w:r>
      <w:proofErr w:type="spellStart"/>
      <w:r w:rsidRPr="00FA591C">
        <w:rPr>
          <w:rFonts w:asciiTheme="majorHAnsi" w:hAnsiTheme="majorHAnsi" w:cstheme="majorHAnsi"/>
          <w:lang w:val="en-US"/>
        </w:rPr>
        <w:t>Shpak</w:t>
      </w:r>
      <w:proofErr w:type="spellEnd"/>
      <w:r w:rsidRPr="00FA591C">
        <w:rPr>
          <w:rFonts w:asciiTheme="majorHAnsi" w:hAnsiTheme="majorHAnsi" w:cstheme="majorHAnsi"/>
          <w:lang w:val="en-US"/>
        </w:rPr>
        <w:t xml:space="preserve">, V. K. (2008). </w:t>
      </w:r>
      <w:r w:rsidRPr="00FA591C">
        <w:rPr>
          <w:rFonts w:asciiTheme="majorHAnsi" w:hAnsiTheme="majorHAnsi" w:cstheme="majorHAnsi"/>
          <w:i/>
          <w:lang w:val="en-US"/>
        </w:rPr>
        <w:t>English for everyday communication.</w:t>
      </w:r>
      <w:r w:rsidRPr="00FA591C">
        <w:rPr>
          <w:rFonts w:asciiTheme="majorHAnsi" w:hAnsiTheme="majorHAnsi" w:cstheme="majorHAnsi"/>
          <w:lang w:val="en-US"/>
        </w:rPr>
        <w:t xml:space="preserve"> Kyiv: </w:t>
      </w:r>
      <w:proofErr w:type="spellStart"/>
      <w:r w:rsidRPr="00FA591C">
        <w:rPr>
          <w:rFonts w:asciiTheme="majorHAnsi" w:hAnsiTheme="majorHAnsi" w:cstheme="majorHAnsi"/>
          <w:lang w:val="en-US"/>
        </w:rPr>
        <w:t>Vyshcha</w:t>
      </w:r>
      <w:proofErr w:type="spellEnd"/>
      <w:r w:rsidRPr="00FA591C">
        <w:rPr>
          <w:rFonts w:asciiTheme="majorHAnsi" w:hAnsiTheme="majorHAnsi" w:cstheme="majorHAnsi"/>
          <w:lang w:val="en-US"/>
        </w:rPr>
        <w:t xml:space="preserve"> </w:t>
      </w:r>
      <w:proofErr w:type="spellStart"/>
      <w:r w:rsidRPr="00FA591C">
        <w:rPr>
          <w:rFonts w:asciiTheme="majorHAnsi" w:hAnsiTheme="majorHAnsi" w:cstheme="majorHAnsi"/>
          <w:lang w:val="en-US"/>
        </w:rPr>
        <w:t>shkola</w:t>
      </w:r>
      <w:proofErr w:type="spellEnd"/>
      <w:r w:rsidRPr="00FA591C">
        <w:rPr>
          <w:rFonts w:asciiTheme="majorHAnsi" w:hAnsiTheme="majorHAnsi" w:cstheme="majorHAnsi"/>
          <w:lang w:val="en-US"/>
        </w:rPr>
        <w:t>, 302.</w:t>
      </w:r>
    </w:p>
    <w:p w14:paraId="10F687FF"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4. </w:t>
      </w:r>
      <w:proofErr w:type="spellStart"/>
      <w:r w:rsidRPr="00FA591C">
        <w:rPr>
          <w:rFonts w:asciiTheme="majorHAnsi" w:hAnsiTheme="majorHAnsi" w:cstheme="majorHAnsi"/>
          <w:lang w:val="en-US"/>
        </w:rPr>
        <w:t>Chmel</w:t>
      </w:r>
      <w:proofErr w:type="spellEnd"/>
      <w:r w:rsidRPr="00FA591C">
        <w:rPr>
          <w:rFonts w:asciiTheme="majorHAnsi" w:hAnsiTheme="majorHAnsi" w:cstheme="majorHAnsi"/>
          <w:lang w:val="en-US"/>
        </w:rPr>
        <w:t xml:space="preserve">, V. V. (2009). </w:t>
      </w:r>
      <w:r w:rsidRPr="00FA591C">
        <w:rPr>
          <w:rFonts w:asciiTheme="majorHAnsi" w:hAnsiTheme="majorHAnsi" w:cstheme="majorHAnsi"/>
          <w:i/>
          <w:lang w:val="en-US"/>
        </w:rPr>
        <w:t>English speaking skills</w:t>
      </w:r>
      <w:r w:rsidRPr="00FA591C">
        <w:rPr>
          <w:rFonts w:asciiTheme="majorHAnsi" w:hAnsiTheme="majorHAnsi" w:cstheme="majorHAnsi"/>
          <w:lang w:val="en-US"/>
        </w:rPr>
        <w:t>. Textbook for first-year engineering students. Kyiv: NTUU “KPI”, 70.</w:t>
      </w:r>
    </w:p>
    <w:p w14:paraId="5CCC0825"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p>
    <w:p w14:paraId="1A614A5C" w14:textId="77777777" w:rsidR="00AB76A9" w:rsidRPr="00FA591C" w:rsidRDefault="00AB76A9" w:rsidP="00AB76A9">
      <w:pPr>
        <w:spacing w:line="240" w:lineRule="auto"/>
        <w:ind w:left="0" w:hanging="2"/>
        <w:jc w:val="both"/>
        <w:rPr>
          <w:rFonts w:asciiTheme="majorHAnsi" w:hAnsiTheme="majorHAnsi" w:cstheme="majorHAnsi"/>
          <w:color w:val="000000"/>
          <w:lang w:val="en-US"/>
        </w:rPr>
      </w:pPr>
      <w:r w:rsidRPr="00FA591C">
        <w:rPr>
          <w:rFonts w:asciiTheme="majorHAnsi" w:hAnsiTheme="majorHAnsi" w:cstheme="majorHAnsi"/>
          <w:color w:val="000000"/>
          <w:lang w:val="en-US"/>
        </w:rPr>
        <w:t>Other teaching resources:</w:t>
      </w:r>
    </w:p>
    <w:p w14:paraId="216E79E0"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1. Murphy, R. (2015). </w:t>
      </w:r>
      <w:r w:rsidRPr="00FA591C">
        <w:rPr>
          <w:rFonts w:asciiTheme="majorHAnsi" w:hAnsiTheme="majorHAnsi" w:cstheme="majorHAnsi"/>
          <w:i/>
          <w:lang w:val="en-US"/>
        </w:rPr>
        <w:t>Essential Grammar in Use:</w:t>
      </w:r>
      <w:r w:rsidRPr="00FA591C">
        <w:rPr>
          <w:rFonts w:asciiTheme="majorHAnsi" w:hAnsiTheme="majorHAnsi" w:cstheme="majorHAnsi"/>
          <w:lang w:val="en-US"/>
        </w:rPr>
        <w:t xml:space="preserve"> A self-reference and practice book for intermediate students of English. Third edition. Cambridge University Press, 380.</w:t>
      </w:r>
    </w:p>
    <w:p w14:paraId="264640AC"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2. Dooley, J. &amp; Evans, V. (2008). </w:t>
      </w:r>
      <w:proofErr w:type="spellStart"/>
      <w:r w:rsidRPr="00FA591C">
        <w:rPr>
          <w:rFonts w:asciiTheme="majorHAnsi" w:hAnsiTheme="majorHAnsi" w:cstheme="majorHAnsi"/>
          <w:i/>
          <w:lang w:val="en-US"/>
        </w:rPr>
        <w:t>Grammarway</w:t>
      </w:r>
      <w:proofErr w:type="spellEnd"/>
      <w:r w:rsidRPr="00FA591C">
        <w:rPr>
          <w:rFonts w:asciiTheme="majorHAnsi" w:hAnsiTheme="majorHAnsi" w:cstheme="majorHAnsi"/>
          <w:i/>
          <w:lang w:val="en-US"/>
        </w:rPr>
        <w:t xml:space="preserve"> 2</w:t>
      </w:r>
      <w:r w:rsidRPr="00FA591C">
        <w:rPr>
          <w:rFonts w:asciiTheme="majorHAnsi" w:hAnsiTheme="majorHAnsi" w:cstheme="majorHAnsi"/>
          <w:lang w:val="en-US"/>
        </w:rPr>
        <w:t>. Express Publishing, 160.</w:t>
      </w:r>
    </w:p>
    <w:p w14:paraId="702BC619"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3.  Gore, S. &amp; Smith, D.G. (2007). </w:t>
      </w:r>
      <w:r w:rsidRPr="00FA591C">
        <w:rPr>
          <w:rFonts w:asciiTheme="majorHAnsi" w:hAnsiTheme="majorHAnsi" w:cstheme="majorHAnsi"/>
          <w:i/>
          <w:lang w:val="en-US"/>
        </w:rPr>
        <w:t>Oxford English for Socializing.</w:t>
      </w:r>
      <w:r w:rsidRPr="00FA591C">
        <w:rPr>
          <w:rFonts w:asciiTheme="majorHAnsi" w:hAnsiTheme="majorHAnsi" w:cstheme="majorHAnsi"/>
          <w:lang w:val="en-US"/>
        </w:rPr>
        <w:t xml:space="preserve"> Oxford University Press, 78.</w:t>
      </w:r>
    </w:p>
    <w:p w14:paraId="5A5B8F16"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4. King, D. (2005). </w:t>
      </w:r>
      <w:r w:rsidRPr="00FA591C">
        <w:rPr>
          <w:rFonts w:asciiTheme="majorHAnsi" w:hAnsiTheme="majorHAnsi" w:cstheme="majorHAnsi"/>
          <w:i/>
          <w:lang w:val="en-US"/>
        </w:rPr>
        <w:t>Socializing.</w:t>
      </w:r>
      <w:r w:rsidRPr="00FA591C">
        <w:rPr>
          <w:rFonts w:asciiTheme="majorHAnsi" w:hAnsiTheme="majorHAnsi" w:cstheme="majorHAnsi"/>
          <w:lang w:val="en-US"/>
        </w:rPr>
        <w:t xml:space="preserve"> Delta Publishing, 64.</w:t>
      </w:r>
    </w:p>
    <w:p w14:paraId="058D2F50"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lastRenderedPageBreak/>
        <w:t xml:space="preserve">5. Mann, M. &amp; </w:t>
      </w:r>
      <w:proofErr w:type="spellStart"/>
      <w:r w:rsidRPr="00FA591C">
        <w:rPr>
          <w:rFonts w:asciiTheme="majorHAnsi" w:hAnsiTheme="majorHAnsi" w:cstheme="majorHAnsi"/>
          <w:lang w:val="en-US"/>
        </w:rPr>
        <w:t>Taylore</w:t>
      </w:r>
      <w:proofErr w:type="spellEnd"/>
      <w:r w:rsidRPr="00FA591C">
        <w:rPr>
          <w:rFonts w:asciiTheme="majorHAnsi" w:hAnsiTheme="majorHAnsi" w:cstheme="majorHAnsi"/>
          <w:lang w:val="en-US"/>
        </w:rPr>
        <w:t xml:space="preserve">-Knowles, S. (2008). </w:t>
      </w:r>
      <w:r w:rsidRPr="00FA591C">
        <w:rPr>
          <w:rFonts w:asciiTheme="majorHAnsi" w:hAnsiTheme="majorHAnsi" w:cstheme="majorHAnsi"/>
          <w:i/>
          <w:lang w:val="en-US"/>
        </w:rPr>
        <w:t>Destination B1.</w:t>
      </w:r>
      <w:r w:rsidRPr="00FA591C">
        <w:rPr>
          <w:rFonts w:asciiTheme="majorHAnsi" w:hAnsiTheme="majorHAnsi" w:cstheme="majorHAnsi"/>
          <w:lang w:val="en-US"/>
        </w:rPr>
        <w:t xml:space="preserve"> Macmillan, 256.</w:t>
      </w:r>
    </w:p>
    <w:p w14:paraId="145CCE42"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 xml:space="preserve">6. Clarke, S. (2008). </w:t>
      </w:r>
      <w:r w:rsidRPr="00FA591C">
        <w:rPr>
          <w:rFonts w:asciiTheme="majorHAnsi" w:hAnsiTheme="majorHAnsi" w:cstheme="majorHAnsi"/>
          <w:i/>
          <w:lang w:val="en-US"/>
        </w:rPr>
        <w:t>Macmillan English Grammar in Context.</w:t>
      </w:r>
      <w:r w:rsidRPr="00FA591C">
        <w:rPr>
          <w:rFonts w:asciiTheme="majorHAnsi" w:hAnsiTheme="majorHAnsi" w:cstheme="majorHAnsi"/>
          <w:lang w:val="en-US"/>
        </w:rPr>
        <w:t xml:space="preserve"> </w:t>
      </w:r>
      <w:proofErr w:type="spellStart"/>
      <w:r w:rsidRPr="00FA591C">
        <w:rPr>
          <w:rFonts w:asciiTheme="majorHAnsi" w:hAnsiTheme="majorHAnsi" w:cstheme="majorHAnsi"/>
          <w:lang w:val="en-US"/>
        </w:rPr>
        <w:t>Intermediate.Macmillan</w:t>
      </w:r>
      <w:proofErr w:type="spellEnd"/>
      <w:r w:rsidRPr="00FA591C">
        <w:rPr>
          <w:rFonts w:asciiTheme="majorHAnsi" w:hAnsiTheme="majorHAnsi" w:cstheme="majorHAnsi"/>
          <w:lang w:val="en-US"/>
        </w:rPr>
        <w:t>, 232.</w:t>
      </w:r>
    </w:p>
    <w:p w14:paraId="47616450" w14:textId="77777777" w:rsidR="00AB76A9" w:rsidRPr="00FA591C" w:rsidRDefault="00AB76A9" w:rsidP="00AB76A9">
      <w:pPr>
        <w:ind w:left="0" w:hanging="2"/>
        <w:jc w:val="both"/>
        <w:rPr>
          <w:rFonts w:asciiTheme="majorHAnsi" w:hAnsiTheme="majorHAnsi" w:cstheme="majorHAnsi"/>
          <w:lang w:val="en-US"/>
        </w:rPr>
      </w:pPr>
      <w:r w:rsidRPr="00FA591C">
        <w:rPr>
          <w:rFonts w:asciiTheme="majorHAnsi" w:hAnsiTheme="majorHAnsi" w:cstheme="majorHAnsi"/>
          <w:lang w:val="en-US"/>
        </w:rPr>
        <w:t>7. English for Academics. (2014). [In collaboration with the British Council]. Cambridge University Press, 175.</w:t>
      </w:r>
    </w:p>
    <w:p w14:paraId="7E521C96" w14:textId="77777777" w:rsidR="00AB76A9" w:rsidRPr="00FA591C" w:rsidRDefault="00AB76A9" w:rsidP="00AB76A9">
      <w:pPr>
        <w:spacing w:line="240" w:lineRule="auto"/>
        <w:ind w:left="0" w:hanging="2"/>
        <w:jc w:val="both"/>
        <w:rPr>
          <w:lang w:val="en-US"/>
        </w:rPr>
      </w:pPr>
    </w:p>
    <w:p w14:paraId="2F1FAA4B" w14:textId="77777777" w:rsidR="00AB76A9" w:rsidRPr="00FA591C" w:rsidRDefault="00AB76A9" w:rsidP="00AB76A9">
      <w:pPr>
        <w:spacing w:line="240" w:lineRule="auto"/>
        <w:ind w:left="0" w:hanging="2"/>
        <w:jc w:val="both"/>
        <w:rPr>
          <w:color w:val="000000"/>
          <w:lang w:val="en-US"/>
        </w:rPr>
      </w:pPr>
      <w:r w:rsidRPr="00FA591C">
        <w:rPr>
          <w:color w:val="000000"/>
          <w:lang w:val="en-US"/>
        </w:rPr>
        <w:t>Online resources:</w:t>
      </w:r>
    </w:p>
    <w:p w14:paraId="6CD4C633" w14:textId="77777777" w:rsidR="00AB76A9" w:rsidRDefault="00AB76A9" w:rsidP="00AB76A9">
      <w:pPr>
        <w:spacing w:line="240" w:lineRule="auto"/>
        <w:ind w:left="0" w:hanging="2"/>
        <w:jc w:val="left"/>
        <w:rPr>
          <w:color w:val="000000"/>
        </w:rPr>
      </w:pPr>
      <w:r>
        <w:rPr>
          <w:color w:val="0000FF"/>
          <w:u w:val="single"/>
        </w:rPr>
        <w:t>https://learnenglish.britishcouncil.org/en/english-emails</w:t>
      </w:r>
      <w:r>
        <w:rPr>
          <w:color w:val="000000"/>
        </w:rPr>
        <w:t xml:space="preserve"> </w:t>
      </w:r>
    </w:p>
    <w:p w14:paraId="39C49341" w14:textId="77777777" w:rsidR="00AB76A9" w:rsidRDefault="00AB76A9" w:rsidP="00AB76A9">
      <w:pPr>
        <w:spacing w:line="240" w:lineRule="auto"/>
        <w:ind w:left="0" w:hanging="2"/>
        <w:jc w:val="left"/>
        <w:rPr>
          <w:color w:val="0000FF"/>
          <w:u w:val="single"/>
        </w:rPr>
      </w:pPr>
      <w:r>
        <w:rPr>
          <w:color w:val="0000FF"/>
          <w:u w:val="single"/>
        </w:rPr>
        <w:t xml:space="preserve">https://esol.britishcouncil.org </w:t>
      </w:r>
    </w:p>
    <w:p w14:paraId="455200DA" w14:textId="77777777" w:rsidR="00AB76A9" w:rsidRDefault="00AB76A9" w:rsidP="00AB76A9">
      <w:pPr>
        <w:spacing w:line="240" w:lineRule="auto"/>
        <w:ind w:left="0" w:hanging="2"/>
        <w:jc w:val="left"/>
        <w:rPr>
          <w:color w:val="0000FF"/>
          <w:u w:val="single"/>
        </w:rPr>
      </w:pPr>
      <w:r>
        <w:rPr>
          <w:color w:val="0000FF"/>
          <w:u w:val="single"/>
        </w:rPr>
        <w:t>https://learnenglishteens.britishcouncil.org/</w:t>
      </w:r>
    </w:p>
    <w:p w14:paraId="75F775AC" w14:textId="77777777" w:rsidR="00AB76A9" w:rsidRDefault="00AB76A9" w:rsidP="00AB76A9">
      <w:pPr>
        <w:spacing w:line="240" w:lineRule="auto"/>
        <w:ind w:left="0" w:hanging="2"/>
        <w:jc w:val="left"/>
        <w:rPr>
          <w:color w:val="0000FF"/>
          <w:u w:val="single"/>
        </w:rPr>
      </w:pPr>
      <w:r>
        <w:rPr>
          <w:color w:val="0000FF"/>
          <w:u w:val="single"/>
        </w:rPr>
        <w:t>https://www.bbc.co.uk/learningenglish/</w:t>
      </w:r>
    </w:p>
    <w:p w14:paraId="316A3674" w14:textId="77777777" w:rsidR="00AB76A9" w:rsidRDefault="00AB76A9" w:rsidP="00AB76A9">
      <w:pPr>
        <w:keepNext/>
        <w:shd w:val="clear" w:color="auto" w:fill="BFBFBF"/>
        <w:spacing w:before="120" w:line="240" w:lineRule="auto"/>
        <w:ind w:left="0" w:hanging="2"/>
        <w:rPr>
          <w:rFonts w:ascii="Calibri" w:eastAsia="Calibri" w:hAnsi="Calibri" w:cs="Calibri"/>
          <w:color w:val="002060"/>
        </w:rPr>
      </w:pPr>
      <w:proofErr w:type="spellStart"/>
      <w:r>
        <w:rPr>
          <w:rFonts w:ascii="Calibri" w:eastAsia="Calibri" w:hAnsi="Calibri" w:cs="Calibri"/>
          <w:b/>
          <w:color w:val="002060"/>
        </w:rPr>
        <w:t>Course</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Overview</w:t>
      </w:r>
      <w:proofErr w:type="spellEnd"/>
    </w:p>
    <w:p w14:paraId="52B7DA6E" w14:textId="77777777" w:rsidR="00AB76A9" w:rsidRDefault="00AB76A9" w:rsidP="00AB76A9">
      <w:pPr>
        <w:keepNext/>
        <w:numPr>
          <w:ilvl w:val="0"/>
          <w:numId w:val="1"/>
        </w:numPr>
        <w:spacing w:after="120" w:line="240" w:lineRule="auto"/>
        <w:ind w:left="0" w:hanging="2"/>
        <w:jc w:val="left"/>
        <w:rPr>
          <w:rFonts w:ascii="Calibri" w:eastAsia="Calibri" w:hAnsi="Calibri" w:cs="Calibri"/>
          <w:color w:val="002060"/>
        </w:rPr>
      </w:pPr>
      <w:proofErr w:type="spellStart"/>
      <w:r>
        <w:rPr>
          <w:rFonts w:ascii="Calibri" w:eastAsia="Calibri" w:hAnsi="Calibri" w:cs="Calibri"/>
          <w:b/>
          <w:color w:val="002060"/>
        </w:rPr>
        <w:t>Methodology</w:t>
      </w:r>
      <w:proofErr w:type="spellEnd"/>
    </w:p>
    <w:p w14:paraId="72438314" w14:textId="77777777" w:rsidR="00AB76A9" w:rsidRPr="0020666B" w:rsidRDefault="00AB76A9" w:rsidP="00AB76A9">
      <w:pPr>
        <w:spacing w:line="276" w:lineRule="auto"/>
        <w:ind w:left="0" w:hanging="2"/>
        <w:jc w:val="both"/>
        <w:rPr>
          <w:rFonts w:asciiTheme="majorHAnsi" w:hAnsiTheme="majorHAnsi" w:cstheme="majorHAnsi"/>
          <w:lang w:val="en-US"/>
        </w:rPr>
      </w:pPr>
      <w:r w:rsidRPr="0020666B">
        <w:rPr>
          <w:rFonts w:asciiTheme="majorHAnsi" w:hAnsiTheme="majorHAnsi" w:cstheme="majorHAnsi"/>
          <w:lang w:val="en-US"/>
        </w:rPr>
        <w:t>The general approach to teaching the “Foreign language” course is learner-centered, as the learning process is focused on the learners’ abilities, needs, and interests so that to encourage the development of such personality traits as self-determination, creativity and internal motivation.</w:t>
      </w:r>
    </w:p>
    <w:p w14:paraId="23087D4B" w14:textId="77777777" w:rsidR="00AB76A9" w:rsidRPr="0020666B" w:rsidRDefault="00AB76A9" w:rsidP="00AB76A9">
      <w:pPr>
        <w:spacing w:line="276" w:lineRule="auto"/>
        <w:ind w:left="0" w:hanging="2"/>
        <w:jc w:val="both"/>
        <w:rPr>
          <w:rFonts w:asciiTheme="majorHAnsi" w:hAnsiTheme="majorHAnsi" w:cstheme="majorHAnsi"/>
          <w:lang w:val="en-US"/>
        </w:rPr>
      </w:pPr>
      <w:r w:rsidRPr="0020666B">
        <w:rPr>
          <w:rFonts w:asciiTheme="majorHAnsi" w:hAnsiTheme="majorHAnsi" w:cstheme="majorHAnsi"/>
          <w:lang w:val="en-US"/>
        </w:rPr>
        <w:t>The methodology of the course entails the key principles of communicative language teaching, which emphasizes interaction as both the means and the ultimate goal of study. The classroom work encourages students to communicate in the target language, to use authentic English language resources, to develop their research and critical thinking skills. The lesson objectives and range of activities are relevant to the goals of the “Foreign language” course and are described in more detail in the curriculum.</w:t>
      </w:r>
    </w:p>
    <w:p w14:paraId="17BB76CC" w14:textId="77777777" w:rsidR="00AB76A9" w:rsidRDefault="00AB76A9" w:rsidP="00AB76A9">
      <w:pPr>
        <w:keepNext/>
        <w:numPr>
          <w:ilvl w:val="0"/>
          <w:numId w:val="1"/>
        </w:numPr>
        <w:spacing w:before="120" w:after="120" w:line="240" w:lineRule="auto"/>
        <w:ind w:left="0" w:hanging="2"/>
        <w:jc w:val="left"/>
        <w:rPr>
          <w:rFonts w:ascii="Calibri" w:eastAsia="Calibri" w:hAnsi="Calibri" w:cs="Calibri"/>
          <w:color w:val="002060"/>
        </w:rPr>
      </w:pPr>
      <w:proofErr w:type="spellStart"/>
      <w:r>
        <w:rPr>
          <w:rFonts w:ascii="Calibri" w:eastAsia="Calibri" w:hAnsi="Calibri" w:cs="Calibri"/>
          <w:b/>
          <w:color w:val="002060"/>
        </w:rPr>
        <w:t>Self-study</w:t>
      </w:r>
      <w:proofErr w:type="spellEnd"/>
    </w:p>
    <w:p w14:paraId="0DC92DB4" w14:textId="77777777" w:rsidR="00AB76A9" w:rsidRPr="0020666B" w:rsidRDefault="00AB76A9" w:rsidP="00AB76A9">
      <w:pPr>
        <w:spacing w:line="276" w:lineRule="auto"/>
        <w:ind w:left="0" w:hanging="2"/>
        <w:jc w:val="both"/>
        <w:rPr>
          <w:rFonts w:asciiTheme="majorHAnsi" w:hAnsiTheme="majorHAnsi" w:cstheme="majorHAnsi"/>
          <w:lang w:val="en-US"/>
        </w:rPr>
      </w:pPr>
      <w:proofErr w:type="spellStart"/>
      <w:r w:rsidRPr="0020666B">
        <w:rPr>
          <w:rFonts w:asciiTheme="majorHAnsi" w:hAnsiTheme="majorHAnsi" w:cstheme="majorHAnsi"/>
          <w:lang w:val="en-US"/>
        </w:rPr>
        <w:t>Self study</w:t>
      </w:r>
      <w:proofErr w:type="spellEnd"/>
      <w:r w:rsidRPr="0020666B">
        <w:rPr>
          <w:rFonts w:asciiTheme="majorHAnsi" w:hAnsiTheme="majorHAnsi" w:cstheme="majorHAnsi"/>
          <w:lang w:val="en-US"/>
        </w:rPr>
        <w:t xml:space="preserve"> is essential for students to get most out of their learning experience outside the classroom and include doing homework assignments, revising for the lessons, and performing individual tasks, which help students consolidate and apply their knowledge in practice. The main types of individual tasks are completing the online courses on the Sikorsky platform, creating interactive posters and presentations, taking virtual trips, writing an essay and/or conference abstract, writing tests of different levels of complexity, and so on.</w:t>
      </w:r>
    </w:p>
    <w:p w14:paraId="79EB11B4" w14:textId="77777777" w:rsidR="00AB76A9" w:rsidRPr="00FA591C" w:rsidRDefault="00AB76A9" w:rsidP="00AB76A9">
      <w:pPr>
        <w:keepNext/>
        <w:shd w:val="clear" w:color="auto" w:fill="BFBFBF"/>
        <w:spacing w:before="120" w:line="240" w:lineRule="auto"/>
        <w:ind w:left="0" w:hanging="2"/>
        <w:rPr>
          <w:rFonts w:ascii="Calibri" w:eastAsia="Calibri" w:hAnsi="Calibri" w:cs="Calibri"/>
          <w:color w:val="002060"/>
          <w:lang w:val="en-US"/>
        </w:rPr>
      </w:pPr>
      <w:r w:rsidRPr="00FA591C">
        <w:rPr>
          <w:rFonts w:ascii="Calibri" w:eastAsia="Calibri" w:hAnsi="Calibri" w:cs="Calibri"/>
          <w:b/>
          <w:color w:val="002060"/>
          <w:lang w:val="en-US"/>
        </w:rPr>
        <w:t>Attendance Policy and Assessment</w:t>
      </w:r>
    </w:p>
    <w:p w14:paraId="4A1312E3" w14:textId="77777777" w:rsidR="00AB76A9" w:rsidRPr="00FA591C" w:rsidRDefault="00AB76A9" w:rsidP="00AB76A9">
      <w:pPr>
        <w:keepNext/>
        <w:numPr>
          <w:ilvl w:val="0"/>
          <w:numId w:val="1"/>
        </w:numPr>
        <w:spacing w:after="120" w:line="240" w:lineRule="auto"/>
        <w:ind w:left="0" w:hanging="2"/>
        <w:jc w:val="left"/>
        <w:rPr>
          <w:rFonts w:ascii="Calibri" w:eastAsia="Calibri" w:hAnsi="Calibri" w:cs="Calibri"/>
          <w:color w:val="002060"/>
          <w:lang w:val="en-US"/>
        </w:rPr>
      </w:pPr>
      <w:r w:rsidRPr="00FA591C">
        <w:rPr>
          <w:rFonts w:ascii="Calibri" w:eastAsia="Calibri" w:hAnsi="Calibri" w:cs="Calibri"/>
          <w:b/>
          <w:color w:val="002060"/>
          <w:lang w:val="en-US"/>
        </w:rPr>
        <w:t>Attendance policy</w:t>
      </w:r>
    </w:p>
    <w:p w14:paraId="58C868E7"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Students are required to be on time to attend all the lessons according to the timetable, and adhere to the code of ethical conduct. To successfully complete the course </w:t>
      </w:r>
      <w:proofErr w:type="gramStart"/>
      <w:r w:rsidRPr="0020666B">
        <w:rPr>
          <w:rFonts w:asciiTheme="majorHAnsi" w:hAnsiTheme="majorHAnsi" w:cstheme="majorHAnsi"/>
          <w:color w:val="000000"/>
          <w:lang w:val="en-US"/>
        </w:rPr>
        <w:t>students</w:t>
      </w:r>
      <w:proofErr w:type="gramEnd"/>
      <w:r w:rsidRPr="0020666B">
        <w:rPr>
          <w:rFonts w:asciiTheme="majorHAnsi" w:hAnsiTheme="majorHAnsi" w:cstheme="majorHAnsi"/>
          <w:color w:val="000000"/>
          <w:lang w:val="en-US"/>
        </w:rPr>
        <w:t xml:space="preserve"> need to study coursebook materials and use learning resources available in print, in digital form, and online. Regular attendance at the lessons, self-study and continuous revisions are essential for completion of the course.</w:t>
      </w:r>
    </w:p>
    <w:p w14:paraId="1B6D48FA"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According to the Code of </w:t>
      </w:r>
      <w:proofErr w:type="spellStart"/>
      <w:r w:rsidRPr="0020666B">
        <w:rPr>
          <w:rFonts w:asciiTheme="majorHAnsi" w:hAnsiTheme="majorHAnsi" w:cstheme="majorHAnsi"/>
          <w:color w:val="000000"/>
          <w:lang w:val="en-US"/>
        </w:rPr>
        <w:t>Honour</w:t>
      </w:r>
      <w:proofErr w:type="spellEnd"/>
      <w:r w:rsidRPr="0020666B">
        <w:rPr>
          <w:rFonts w:asciiTheme="majorHAnsi" w:hAnsiTheme="majorHAnsi" w:cstheme="majorHAnsi"/>
          <w:color w:val="000000"/>
          <w:lang w:val="en-US"/>
        </w:rPr>
        <w:t xml:space="preserve"> of the university (</w:t>
      </w:r>
      <w:hyperlink r:id="rId9">
        <w:r w:rsidRPr="0020666B">
          <w:rPr>
            <w:rFonts w:asciiTheme="majorHAnsi" w:hAnsiTheme="majorHAnsi" w:cstheme="majorHAnsi"/>
            <w:color w:val="1155CC"/>
            <w:u w:val="single"/>
            <w:lang w:val="en-US"/>
          </w:rPr>
          <w:t>https://kpi.ua/code</w:t>
        </w:r>
      </w:hyperlink>
      <w:r w:rsidRPr="0020666B">
        <w:rPr>
          <w:rFonts w:asciiTheme="majorHAnsi" w:hAnsiTheme="majorHAnsi" w:cstheme="majorHAnsi"/>
          <w:color w:val="000000"/>
          <w:lang w:val="en-US"/>
        </w:rPr>
        <w:t>) students are expected to be self-disciplined, well-behaved, considerate, honest and responsible.</w:t>
      </w:r>
    </w:p>
    <w:p w14:paraId="4A95573E"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During the course, writing an essay/ a conference abstract, presenting at a conference, taking part in a language contest/ university project will bring rewarding points added to the student’s performance score.</w:t>
      </w:r>
    </w:p>
    <w:p w14:paraId="5E40B6BF" w14:textId="77777777" w:rsidR="00AB76A9" w:rsidRPr="0020666B" w:rsidRDefault="00AB76A9" w:rsidP="00AB76A9">
      <w:pPr>
        <w:spacing w:after="120" w:line="276" w:lineRule="auto"/>
        <w:ind w:left="0" w:hanging="2"/>
        <w:jc w:val="both"/>
        <w:rPr>
          <w:rFonts w:asciiTheme="majorHAnsi" w:eastAsia="Calibri" w:hAnsiTheme="majorHAnsi" w:cstheme="majorHAnsi"/>
          <w:color w:val="000000"/>
          <w:lang w:val="en-US"/>
        </w:rPr>
      </w:pPr>
    </w:p>
    <w:p w14:paraId="73AF9354" w14:textId="77777777" w:rsidR="00AB76A9" w:rsidRPr="00FA591C" w:rsidRDefault="00AB76A9" w:rsidP="00AB76A9">
      <w:pPr>
        <w:keepNext/>
        <w:numPr>
          <w:ilvl w:val="0"/>
          <w:numId w:val="1"/>
        </w:numPr>
        <w:spacing w:before="120" w:after="120" w:line="240" w:lineRule="auto"/>
        <w:ind w:left="0" w:hanging="2"/>
        <w:jc w:val="left"/>
        <w:rPr>
          <w:rFonts w:ascii="Calibri" w:eastAsia="Calibri" w:hAnsi="Calibri" w:cs="Calibri"/>
          <w:color w:val="002060"/>
          <w:lang w:val="en-US"/>
        </w:rPr>
      </w:pPr>
      <w:r w:rsidRPr="00FA591C">
        <w:rPr>
          <w:rFonts w:ascii="Calibri" w:eastAsia="Calibri" w:hAnsi="Calibri" w:cs="Calibri"/>
          <w:b/>
          <w:color w:val="002060"/>
          <w:lang w:val="en-US"/>
        </w:rPr>
        <w:t>Monitoring and grading policy</w:t>
      </w:r>
    </w:p>
    <w:p w14:paraId="31B3E478"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At the first lesson of the course students are introduced to the rating system of performance, which is based on the university regulations on the academic performance and grading system, as stated in </w:t>
      </w:r>
      <w:hyperlink r:id="rId10">
        <w:r w:rsidRPr="0020666B">
          <w:rPr>
            <w:rFonts w:asciiTheme="majorHAnsi" w:hAnsiTheme="majorHAnsi" w:cstheme="majorHAnsi"/>
            <w:color w:val="1155CC"/>
            <w:u w:val="single"/>
            <w:lang w:val="en-US"/>
          </w:rPr>
          <w:t>https://document.kpi.ua/files/2020_1-273.pdf</w:t>
        </w:r>
      </w:hyperlink>
      <w:r w:rsidRPr="0020666B">
        <w:rPr>
          <w:rFonts w:asciiTheme="majorHAnsi" w:hAnsiTheme="majorHAnsi" w:cstheme="majorHAnsi"/>
          <w:color w:val="000000"/>
          <w:lang w:val="en-US"/>
        </w:rPr>
        <w:t xml:space="preserve"> </w:t>
      </w:r>
    </w:p>
    <w:p w14:paraId="5D50993F"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The continuous assessment of student performance during the course suggests that the 100-point score comprise getting maximal 2.5 points obtainable for classroom work at 32 lessons (16 lessons in each </w:t>
      </w:r>
      <w:r w:rsidRPr="0020666B">
        <w:rPr>
          <w:rFonts w:asciiTheme="majorHAnsi" w:hAnsiTheme="majorHAnsi" w:cstheme="majorHAnsi"/>
          <w:color w:val="000000"/>
          <w:lang w:val="en-US"/>
        </w:rPr>
        <w:lastRenderedPageBreak/>
        <w:t xml:space="preserve">semester), and doing the 10-point Module Test in semester I, and 10-point Final Revision Test in semester II. </w:t>
      </w:r>
    </w:p>
    <w:p w14:paraId="7813F4ED"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Classroom work includes fulfilling the homework assignments, studying the coursebook materials, and discussion in groups.</w:t>
      </w:r>
    </w:p>
    <w:p w14:paraId="30A82FA5" w14:textId="77777777" w:rsidR="00AB76A9" w:rsidRPr="0020666B" w:rsidRDefault="00AB76A9" w:rsidP="00AB76A9">
      <w:pPr>
        <w:spacing w:line="276" w:lineRule="auto"/>
        <w:ind w:left="0" w:hanging="2"/>
        <w:jc w:val="both"/>
        <w:rPr>
          <w:rFonts w:asciiTheme="majorHAnsi" w:hAnsiTheme="majorHAnsi" w:cstheme="majorHAnsi"/>
          <w:lang w:val="en-US"/>
        </w:rPr>
      </w:pPr>
      <w:r w:rsidRPr="0020666B">
        <w:rPr>
          <w:rFonts w:asciiTheme="majorHAnsi" w:hAnsiTheme="majorHAnsi" w:cstheme="majorHAnsi"/>
          <w:lang w:val="en-US"/>
        </w:rPr>
        <w:t>According to the university regulations on the monitoring of students’ academic progress (</w:t>
      </w:r>
      <w:hyperlink r:id="rId11">
        <w:r w:rsidRPr="0020666B">
          <w:rPr>
            <w:rFonts w:asciiTheme="majorHAnsi" w:hAnsiTheme="majorHAnsi" w:cstheme="majorHAnsi"/>
            <w:color w:val="1155CC"/>
            <w:u w:val="single"/>
            <w:lang w:val="en-US"/>
          </w:rPr>
          <w:t>https://kpi.ua/document_control</w:t>
        </w:r>
      </w:hyperlink>
      <w:r w:rsidRPr="0020666B">
        <w:rPr>
          <w:rFonts w:asciiTheme="majorHAnsi" w:hAnsiTheme="majorHAnsi" w:cstheme="majorHAnsi"/>
          <w:lang w:val="en-US"/>
        </w:rPr>
        <w:t>) there are two assessment weeks, usually during 7th/8th and 14th/15th week of the semester, when students take the Progress and Module tests respectively, to check their progress against the criteria of the course assessment policy.</w:t>
      </w:r>
    </w:p>
    <w:p w14:paraId="3F38970C"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At the final lessons of the course students will add their rewarding points, if there are any, to the performance score, and in case it is in total higher than 60 points, they may like to get their Pass instead of taking the Fail/ Pass Test. </w:t>
      </w:r>
    </w:p>
    <w:p w14:paraId="7907737C"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Students whose final performance score is 30-60 points have to take the Fail/ Pass Test in order to complete the course. </w:t>
      </w:r>
    </w:p>
    <w:p w14:paraId="2DE64ADE"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Students whose score is below 30 are not allowed to take the Fail/ Pass Test.</w:t>
      </w:r>
    </w:p>
    <w:p w14:paraId="76D2F2FF"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The final performance score or the results of the Fail/ Pass Test are adopted by university grading system as follows:</w:t>
      </w:r>
    </w:p>
    <w:p w14:paraId="15C1245D" w14:textId="77777777" w:rsidR="00AB76A9" w:rsidRPr="00FA591C" w:rsidRDefault="00AB76A9" w:rsidP="00AB76A9">
      <w:pPr>
        <w:spacing w:line="240" w:lineRule="auto"/>
        <w:ind w:left="0" w:hanging="2"/>
        <w:rPr>
          <w:color w:val="000000"/>
          <w:lang w:val="en-US"/>
        </w:rPr>
      </w:pPr>
    </w:p>
    <w:tbl>
      <w:tblPr>
        <w:tblW w:w="6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475"/>
      </w:tblGrid>
      <w:tr w:rsidR="00AB76A9" w:rsidRPr="00FA591C" w14:paraId="415F651C" w14:textId="77777777" w:rsidTr="00066DBF">
        <w:trPr>
          <w:jc w:val="center"/>
        </w:trPr>
        <w:tc>
          <w:tcPr>
            <w:tcW w:w="3118" w:type="dxa"/>
          </w:tcPr>
          <w:p w14:paraId="2D9CC3DA" w14:textId="77777777" w:rsidR="00AB76A9" w:rsidRPr="00FA591C" w:rsidRDefault="00AB76A9" w:rsidP="00066DBF">
            <w:pPr>
              <w:spacing w:line="240" w:lineRule="auto"/>
              <w:ind w:left="0" w:hanging="2"/>
              <w:rPr>
                <w:color w:val="000000"/>
                <w:lang w:val="en-US"/>
              </w:rPr>
            </w:pPr>
            <w:r w:rsidRPr="00FA591C">
              <w:rPr>
                <w:color w:val="000000"/>
                <w:lang w:val="en-US"/>
              </w:rPr>
              <w:t xml:space="preserve">Score </w:t>
            </w:r>
          </w:p>
        </w:tc>
        <w:tc>
          <w:tcPr>
            <w:tcW w:w="3475" w:type="dxa"/>
          </w:tcPr>
          <w:p w14:paraId="72124148" w14:textId="77777777" w:rsidR="00AB76A9" w:rsidRPr="00FA591C" w:rsidRDefault="00AB76A9" w:rsidP="00066DBF">
            <w:pPr>
              <w:spacing w:line="240" w:lineRule="auto"/>
              <w:ind w:left="0" w:hanging="2"/>
              <w:rPr>
                <w:color w:val="000000"/>
                <w:lang w:val="en-US"/>
              </w:rPr>
            </w:pPr>
            <w:r w:rsidRPr="00FA591C">
              <w:rPr>
                <w:color w:val="000000"/>
                <w:lang w:val="en-US"/>
              </w:rPr>
              <w:t>Grade</w:t>
            </w:r>
          </w:p>
        </w:tc>
      </w:tr>
      <w:tr w:rsidR="00AB76A9" w:rsidRPr="00FA591C" w14:paraId="31F32435" w14:textId="77777777" w:rsidTr="00066DBF">
        <w:trPr>
          <w:jc w:val="center"/>
        </w:trPr>
        <w:tc>
          <w:tcPr>
            <w:tcW w:w="3118" w:type="dxa"/>
          </w:tcPr>
          <w:p w14:paraId="03B6CA0D" w14:textId="77777777" w:rsidR="00AB76A9" w:rsidRPr="00FA591C" w:rsidRDefault="00AB76A9" w:rsidP="00066DBF">
            <w:pPr>
              <w:spacing w:line="240" w:lineRule="auto"/>
              <w:ind w:left="0" w:hanging="2"/>
              <w:rPr>
                <w:color w:val="000000"/>
                <w:lang w:val="en-US"/>
              </w:rPr>
            </w:pPr>
            <w:r w:rsidRPr="00FA591C">
              <w:rPr>
                <w:color w:val="000000"/>
                <w:lang w:val="en-US"/>
              </w:rPr>
              <w:t>100-95</w:t>
            </w:r>
          </w:p>
        </w:tc>
        <w:tc>
          <w:tcPr>
            <w:tcW w:w="3475" w:type="dxa"/>
            <w:vAlign w:val="center"/>
          </w:tcPr>
          <w:p w14:paraId="16721743" w14:textId="77777777" w:rsidR="00AB76A9" w:rsidRPr="00FA591C" w:rsidRDefault="00AB76A9" w:rsidP="00066DBF">
            <w:pPr>
              <w:spacing w:line="240" w:lineRule="auto"/>
              <w:ind w:left="0" w:hanging="2"/>
              <w:rPr>
                <w:color w:val="000000"/>
                <w:lang w:val="en-US"/>
              </w:rPr>
            </w:pPr>
            <w:r w:rsidRPr="00FA591C">
              <w:rPr>
                <w:color w:val="000000"/>
                <w:lang w:val="en-US"/>
              </w:rPr>
              <w:t xml:space="preserve">Excellent </w:t>
            </w:r>
          </w:p>
        </w:tc>
      </w:tr>
      <w:tr w:rsidR="00AB76A9" w:rsidRPr="00FA591C" w14:paraId="70E29E80" w14:textId="77777777" w:rsidTr="00066DBF">
        <w:trPr>
          <w:jc w:val="center"/>
        </w:trPr>
        <w:tc>
          <w:tcPr>
            <w:tcW w:w="3118" w:type="dxa"/>
          </w:tcPr>
          <w:p w14:paraId="57C0C7F0" w14:textId="77777777" w:rsidR="00AB76A9" w:rsidRPr="00FA591C" w:rsidRDefault="00AB76A9" w:rsidP="00066DBF">
            <w:pPr>
              <w:spacing w:line="240" w:lineRule="auto"/>
              <w:ind w:left="0" w:hanging="2"/>
              <w:rPr>
                <w:color w:val="000000"/>
                <w:lang w:val="en-US"/>
              </w:rPr>
            </w:pPr>
            <w:r w:rsidRPr="00FA591C">
              <w:rPr>
                <w:color w:val="000000"/>
                <w:lang w:val="en-US"/>
              </w:rPr>
              <w:t>94-85</w:t>
            </w:r>
          </w:p>
        </w:tc>
        <w:tc>
          <w:tcPr>
            <w:tcW w:w="3475" w:type="dxa"/>
            <w:vAlign w:val="center"/>
          </w:tcPr>
          <w:p w14:paraId="19C3355B" w14:textId="77777777" w:rsidR="00AB76A9" w:rsidRPr="00FA591C" w:rsidRDefault="00AB76A9" w:rsidP="00066DBF">
            <w:pPr>
              <w:spacing w:line="240" w:lineRule="auto"/>
              <w:ind w:left="0" w:hanging="2"/>
              <w:rPr>
                <w:color w:val="000000"/>
                <w:lang w:val="en-US"/>
              </w:rPr>
            </w:pPr>
            <w:r w:rsidRPr="00FA591C">
              <w:rPr>
                <w:color w:val="000000"/>
                <w:lang w:val="en-US"/>
              </w:rPr>
              <w:t>Very good</w:t>
            </w:r>
          </w:p>
        </w:tc>
      </w:tr>
      <w:tr w:rsidR="00AB76A9" w:rsidRPr="00FA591C" w14:paraId="15A43C02" w14:textId="77777777" w:rsidTr="00066DBF">
        <w:trPr>
          <w:jc w:val="center"/>
        </w:trPr>
        <w:tc>
          <w:tcPr>
            <w:tcW w:w="3118" w:type="dxa"/>
          </w:tcPr>
          <w:p w14:paraId="40E7886A" w14:textId="77777777" w:rsidR="00AB76A9" w:rsidRPr="00FA591C" w:rsidRDefault="00AB76A9" w:rsidP="00066DBF">
            <w:pPr>
              <w:spacing w:line="240" w:lineRule="auto"/>
              <w:ind w:left="0" w:hanging="2"/>
              <w:rPr>
                <w:color w:val="000000"/>
                <w:lang w:val="en-US"/>
              </w:rPr>
            </w:pPr>
            <w:r w:rsidRPr="00FA591C">
              <w:rPr>
                <w:color w:val="000000"/>
                <w:lang w:val="en-US"/>
              </w:rPr>
              <w:t>84-75</w:t>
            </w:r>
          </w:p>
        </w:tc>
        <w:tc>
          <w:tcPr>
            <w:tcW w:w="3475" w:type="dxa"/>
            <w:vAlign w:val="center"/>
          </w:tcPr>
          <w:p w14:paraId="0D69245A" w14:textId="77777777" w:rsidR="00AB76A9" w:rsidRPr="00FA591C" w:rsidRDefault="00AB76A9" w:rsidP="00066DBF">
            <w:pPr>
              <w:spacing w:line="240" w:lineRule="auto"/>
              <w:ind w:left="0" w:hanging="2"/>
              <w:rPr>
                <w:color w:val="000000"/>
                <w:lang w:val="en-US"/>
              </w:rPr>
            </w:pPr>
            <w:r w:rsidRPr="00FA591C">
              <w:rPr>
                <w:color w:val="000000"/>
                <w:lang w:val="en-US"/>
              </w:rPr>
              <w:t xml:space="preserve">Good </w:t>
            </w:r>
          </w:p>
        </w:tc>
      </w:tr>
      <w:tr w:rsidR="00AB76A9" w:rsidRPr="00FA591C" w14:paraId="706ACA5B" w14:textId="77777777" w:rsidTr="00066DBF">
        <w:trPr>
          <w:jc w:val="center"/>
        </w:trPr>
        <w:tc>
          <w:tcPr>
            <w:tcW w:w="3118" w:type="dxa"/>
          </w:tcPr>
          <w:p w14:paraId="589ECBC0" w14:textId="77777777" w:rsidR="00AB76A9" w:rsidRPr="00FA591C" w:rsidRDefault="00AB76A9" w:rsidP="00066DBF">
            <w:pPr>
              <w:spacing w:line="240" w:lineRule="auto"/>
              <w:ind w:left="0" w:hanging="2"/>
              <w:rPr>
                <w:color w:val="000000"/>
                <w:lang w:val="en-US"/>
              </w:rPr>
            </w:pPr>
            <w:r w:rsidRPr="00FA591C">
              <w:rPr>
                <w:color w:val="000000"/>
                <w:lang w:val="en-US"/>
              </w:rPr>
              <w:t>74-65</w:t>
            </w:r>
          </w:p>
        </w:tc>
        <w:tc>
          <w:tcPr>
            <w:tcW w:w="3475" w:type="dxa"/>
            <w:vAlign w:val="center"/>
          </w:tcPr>
          <w:p w14:paraId="5EFB7956" w14:textId="77777777" w:rsidR="00AB76A9" w:rsidRPr="00FA591C" w:rsidRDefault="00AB76A9" w:rsidP="00066DBF">
            <w:pPr>
              <w:spacing w:line="240" w:lineRule="auto"/>
              <w:ind w:left="0" w:hanging="2"/>
              <w:rPr>
                <w:color w:val="000000"/>
                <w:lang w:val="en-US"/>
              </w:rPr>
            </w:pPr>
            <w:r w:rsidRPr="00FA591C">
              <w:rPr>
                <w:color w:val="000000"/>
                <w:lang w:val="en-US"/>
              </w:rPr>
              <w:t>Satisfactory</w:t>
            </w:r>
          </w:p>
        </w:tc>
      </w:tr>
      <w:tr w:rsidR="00AB76A9" w:rsidRPr="00FA591C" w14:paraId="534D5F72" w14:textId="77777777" w:rsidTr="00066DBF">
        <w:trPr>
          <w:jc w:val="center"/>
        </w:trPr>
        <w:tc>
          <w:tcPr>
            <w:tcW w:w="3118" w:type="dxa"/>
          </w:tcPr>
          <w:p w14:paraId="4BE1F766" w14:textId="77777777" w:rsidR="00AB76A9" w:rsidRPr="00FA591C" w:rsidRDefault="00AB76A9" w:rsidP="00066DBF">
            <w:pPr>
              <w:spacing w:line="240" w:lineRule="auto"/>
              <w:ind w:left="0" w:hanging="2"/>
              <w:rPr>
                <w:color w:val="000000"/>
                <w:lang w:val="en-US"/>
              </w:rPr>
            </w:pPr>
            <w:r w:rsidRPr="00FA591C">
              <w:rPr>
                <w:color w:val="000000"/>
                <w:lang w:val="en-US"/>
              </w:rPr>
              <w:t>64-60</w:t>
            </w:r>
          </w:p>
        </w:tc>
        <w:tc>
          <w:tcPr>
            <w:tcW w:w="3475" w:type="dxa"/>
            <w:vAlign w:val="center"/>
          </w:tcPr>
          <w:p w14:paraId="36DCE516" w14:textId="77777777" w:rsidR="00AB76A9" w:rsidRPr="00FA591C" w:rsidRDefault="00AB76A9" w:rsidP="00066DBF">
            <w:pPr>
              <w:spacing w:line="240" w:lineRule="auto"/>
              <w:ind w:left="0" w:hanging="2"/>
              <w:rPr>
                <w:color w:val="000000"/>
                <w:lang w:val="en-US"/>
              </w:rPr>
            </w:pPr>
            <w:r w:rsidRPr="00FA591C">
              <w:rPr>
                <w:color w:val="000000"/>
                <w:lang w:val="en-US"/>
              </w:rPr>
              <w:t xml:space="preserve">Sufficient </w:t>
            </w:r>
          </w:p>
        </w:tc>
      </w:tr>
      <w:tr w:rsidR="00AB76A9" w:rsidRPr="00FA591C" w14:paraId="6B5D5D13" w14:textId="77777777" w:rsidTr="00066DBF">
        <w:trPr>
          <w:jc w:val="center"/>
        </w:trPr>
        <w:tc>
          <w:tcPr>
            <w:tcW w:w="3118" w:type="dxa"/>
          </w:tcPr>
          <w:p w14:paraId="5A538C2D" w14:textId="77777777" w:rsidR="00AB76A9" w:rsidRPr="00FA591C" w:rsidRDefault="00AB76A9" w:rsidP="00066DBF">
            <w:pPr>
              <w:spacing w:line="240" w:lineRule="auto"/>
              <w:ind w:left="0" w:hanging="2"/>
              <w:rPr>
                <w:color w:val="000000"/>
                <w:lang w:val="en-US"/>
              </w:rPr>
            </w:pPr>
            <w:r w:rsidRPr="00FA591C">
              <w:rPr>
                <w:color w:val="000000"/>
                <w:lang w:val="en-US"/>
              </w:rPr>
              <w:t>below 60</w:t>
            </w:r>
          </w:p>
        </w:tc>
        <w:tc>
          <w:tcPr>
            <w:tcW w:w="3475" w:type="dxa"/>
            <w:vAlign w:val="center"/>
          </w:tcPr>
          <w:p w14:paraId="52358C8A" w14:textId="77777777" w:rsidR="00AB76A9" w:rsidRPr="00FA591C" w:rsidRDefault="00AB76A9" w:rsidP="00066DBF">
            <w:pPr>
              <w:spacing w:line="240" w:lineRule="auto"/>
              <w:ind w:left="0" w:hanging="2"/>
              <w:rPr>
                <w:color w:val="000000"/>
                <w:lang w:val="en-US"/>
              </w:rPr>
            </w:pPr>
            <w:r w:rsidRPr="00FA591C">
              <w:rPr>
                <w:color w:val="000000"/>
                <w:lang w:val="en-US"/>
              </w:rPr>
              <w:t>Fail</w:t>
            </w:r>
          </w:p>
        </w:tc>
      </w:tr>
      <w:tr w:rsidR="00AB76A9" w:rsidRPr="00FA591C" w14:paraId="47EEA4A0" w14:textId="77777777" w:rsidTr="00066DBF">
        <w:trPr>
          <w:jc w:val="center"/>
        </w:trPr>
        <w:tc>
          <w:tcPr>
            <w:tcW w:w="3118" w:type="dxa"/>
            <w:vAlign w:val="center"/>
          </w:tcPr>
          <w:p w14:paraId="77C8A506" w14:textId="77777777" w:rsidR="00AB76A9" w:rsidRPr="00FA591C" w:rsidRDefault="00AB76A9" w:rsidP="00066DBF">
            <w:pPr>
              <w:spacing w:line="240" w:lineRule="auto"/>
              <w:ind w:left="0" w:hanging="2"/>
              <w:rPr>
                <w:color w:val="000000"/>
                <w:lang w:val="en-US"/>
              </w:rPr>
            </w:pPr>
            <w:r w:rsidRPr="00FA591C">
              <w:rPr>
                <w:lang w:val="en-US"/>
              </w:rPr>
              <w:t>Course requirements are not met</w:t>
            </w:r>
          </w:p>
        </w:tc>
        <w:tc>
          <w:tcPr>
            <w:tcW w:w="3475" w:type="dxa"/>
            <w:vAlign w:val="center"/>
          </w:tcPr>
          <w:p w14:paraId="676FD296" w14:textId="77777777" w:rsidR="00AB76A9" w:rsidRPr="00FA591C" w:rsidRDefault="00AB76A9" w:rsidP="00066DBF">
            <w:pPr>
              <w:spacing w:line="240" w:lineRule="auto"/>
              <w:ind w:left="0" w:hanging="2"/>
              <w:rPr>
                <w:color w:val="000000"/>
                <w:lang w:val="en-US"/>
              </w:rPr>
            </w:pPr>
            <w:r w:rsidRPr="00FA591C">
              <w:rPr>
                <w:lang w:val="en-US"/>
              </w:rPr>
              <w:t>Not Graded</w:t>
            </w:r>
          </w:p>
        </w:tc>
      </w:tr>
    </w:tbl>
    <w:p w14:paraId="292E69B0" w14:textId="77777777" w:rsidR="00AB76A9" w:rsidRPr="00FA591C" w:rsidRDefault="00AB76A9" w:rsidP="00AB76A9">
      <w:pPr>
        <w:keepNext/>
        <w:numPr>
          <w:ilvl w:val="0"/>
          <w:numId w:val="1"/>
        </w:numPr>
        <w:spacing w:before="120" w:after="120" w:line="240" w:lineRule="auto"/>
        <w:ind w:left="0" w:hanging="2"/>
        <w:jc w:val="left"/>
        <w:rPr>
          <w:rFonts w:ascii="Calibri" w:eastAsia="Calibri" w:hAnsi="Calibri" w:cs="Calibri"/>
          <w:color w:val="002060"/>
          <w:lang w:val="en-US"/>
        </w:rPr>
      </w:pPr>
      <w:r w:rsidRPr="00FA591C">
        <w:rPr>
          <w:rFonts w:ascii="Calibri" w:eastAsia="Calibri" w:hAnsi="Calibri" w:cs="Calibri"/>
          <w:b/>
          <w:color w:val="002060"/>
          <w:lang w:val="en-US"/>
        </w:rPr>
        <w:t>Additional information about the course</w:t>
      </w:r>
    </w:p>
    <w:p w14:paraId="74995D6D" w14:textId="77777777" w:rsidR="00AB76A9" w:rsidRPr="0020666B" w:rsidRDefault="00AB76A9" w:rsidP="00AB76A9">
      <w:pPr>
        <w:spacing w:line="276" w:lineRule="auto"/>
        <w:ind w:left="0" w:hanging="2"/>
        <w:jc w:val="both"/>
        <w:rPr>
          <w:rFonts w:asciiTheme="majorHAnsi" w:hAnsiTheme="majorHAnsi" w:cstheme="majorHAnsi"/>
          <w:color w:val="000000"/>
          <w:lang w:val="en-US"/>
        </w:rPr>
      </w:pPr>
      <w:r w:rsidRPr="0020666B">
        <w:rPr>
          <w:rFonts w:asciiTheme="majorHAnsi" w:hAnsiTheme="majorHAnsi" w:cstheme="majorHAnsi"/>
          <w:color w:val="000000"/>
          <w:lang w:val="en-US"/>
        </w:rPr>
        <w:t xml:space="preserve">Learning outcomes of non-formal/informal education, such as a B2 level certificate, can be accepted as the academic performance of the course if allowed by the relevant university regulations. Read more in </w:t>
      </w:r>
      <w:hyperlink r:id="rId12">
        <w:r w:rsidRPr="0020666B">
          <w:rPr>
            <w:rFonts w:asciiTheme="majorHAnsi" w:hAnsiTheme="majorHAnsi" w:cstheme="majorHAnsi"/>
            <w:color w:val="1155CC"/>
            <w:highlight w:val="white"/>
            <w:u w:val="single"/>
            <w:lang w:val="en-US"/>
          </w:rPr>
          <w:t>https://document.kpi.ua/2020_7-177</w:t>
        </w:r>
      </w:hyperlink>
    </w:p>
    <w:p w14:paraId="3AA20C4B" w14:textId="77777777" w:rsidR="00AB76A9" w:rsidRPr="0020666B" w:rsidRDefault="00AB76A9" w:rsidP="00AB76A9">
      <w:pPr>
        <w:spacing w:after="120" w:line="276" w:lineRule="auto"/>
        <w:ind w:left="0" w:hanging="2"/>
        <w:jc w:val="both"/>
        <w:rPr>
          <w:rFonts w:asciiTheme="majorHAnsi" w:hAnsiTheme="majorHAnsi" w:cstheme="majorHAnsi"/>
          <w:color w:val="000000"/>
          <w:lang w:val="en-US"/>
        </w:rPr>
      </w:pPr>
    </w:p>
    <w:p w14:paraId="75BE7016" w14:textId="77777777" w:rsidR="00AB76A9" w:rsidRPr="00FA591C" w:rsidRDefault="00AB76A9" w:rsidP="00AB76A9">
      <w:pPr>
        <w:spacing w:after="120" w:line="240" w:lineRule="auto"/>
        <w:ind w:left="0" w:hanging="2"/>
        <w:jc w:val="both"/>
        <w:rPr>
          <w:rFonts w:ascii="Calibri" w:eastAsia="Calibri" w:hAnsi="Calibri" w:cs="Calibri"/>
          <w:color w:val="000000"/>
          <w:lang w:val="en-US"/>
        </w:rPr>
      </w:pPr>
      <w:r w:rsidRPr="00FA591C">
        <w:rPr>
          <w:rFonts w:ascii="Calibri" w:eastAsia="Calibri" w:hAnsi="Calibri" w:cs="Calibri"/>
          <w:b/>
          <w:color w:val="000000"/>
          <w:lang w:val="en-US"/>
        </w:rPr>
        <w:t>Syllabus of the course</w:t>
      </w:r>
    </w:p>
    <w:p w14:paraId="25DEE9D7" w14:textId="7FCEC97D" w:rsidR="00AB76A9" w:rsidRPr="00FA591C" w:rsidRDefault="00AB76A9" w:rsidP="00AB76A9">
      <w:pPr>
        <w:spacing w:after="120" w:line="240" w:lineRule="auto"/>
        <w:ind w:left="0" w:hanging="2"/>
        <w:jc w:val="both"/>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is designed by</w:t>
      </w:r>
      <w:r w:rsidRPr="00FA591C">
        <w:rPr>
          <w:rFonts w:ascii="Calibri" w:eastAsia="Calibri" w:hAnsi="Calibri" w:cs="Calibri"/>
          <w:b/>
          <w:color w:val="000000"/>
          <w:sz w:val="22"/>
          <w:szCs w:val="22"/>
          <w:lang w:val="en-US"/>
        </w:rPr>
        <w:tab/>
      </w:r>
      <w:r w:rsidRPr="00FA591C">
        <w:rPr>
          <w:rFonts w:ascii="Calibri" w:eastAsia="Calibri" w:hAnsi="Calibri" w:cs="Calibri"/>
          <w:b/>
          <w:color w:val="000000"/>
          <w:sz w:val="22"/>
          <w:szCs w:val="22"/>
          <w:lang w:val="en-US"/>
        </w:rPr>
        <w:tab/>
      </w:r>
      <w:r>
        <w:rPr>
          <w:rFonts w:ascii="Calibri" w:eastAsia="Calibri" w:hAnsi="Calibri" w:cs="Calibri"/>
          <w:b/>
          <w:color w:val="000000"/>
          <w:sz w:val="22"/>
          <w:szCs w:val="22"/>
          <w:u w:val="single"/>
          <w:lang w:val="en-US"/>
        </w:rPr>
        <w:t>Hanna Kolosova</w:t>
      </w:r>
      <w:r w:rsidRPr="00FA591C">
        <w:rPr>
          <w:rFonts w:ascii="Calibri" w:eastAsia="Calibri" w:hAnsi="Calibri" w:cs="Calibri"/>
          <w:b/>
          <w:color w:val="000000"/>
          <w:sz w:val="22"/>
          <w:szCs w:val="22"/>
          <w:u w:val="single"/>
          <w:lang w:val="en-US"/>
        </w:rPr>
        <w:t xml:space="preserve">, </w:t>
      </w:r>
      <w:r>
        <w:rPr>
          <w:rFonts w:ascii="Calibri" w:eastAsia="Calibri" w:hAnsi="Calibri" w:cs="Calibri"/>
          <w:b/>
          <w:sz w:val="22"/>
          <w:szCs w:val="22"/>
          <w:u w:val="single"/>
          <w:lang w:val="en-US"/>
        </w:rPr>
        <w:t>PhD, Asso</w:t>
      </w:r>
      <w:r w:rsidR="00D24C34">
        <w:rPr>
          <w:rFonts w:ascii="Calibri" w:eastAsia="Calibri" w:hAnsi="Calibri" w:cs="Calibri"/>
          <w:b/>
          <w:sz w:val="22"/>
          <w:szCs w:val="22"/>
          <w:u w:val="single"/>
          <w:lang w:val="ru-RU"/>
        </w:rPr>
        <w:t>с</w:t>
      </w:r>
      <w:r>
        <w:rPr>
          <w:rFonts w:ascii="Calibri" w:eastAsia="Calibri" w:hAnsi="Calibri" w:cs="Calibri"/>
          <w:b/>
          <w:sz w:val="22"/>
          <w:szCs w:val="22"/>
          <w:u w:val="single"/>
          <w:lang w:val="en-US"/>
        </w:rPr>
        <w:t>iate professor</w:t>
      </w:r>
      <w:r w:rsidRPr="00FA591C">
        <w:rPr>
          <w:rFonts w:ascii="Calibri" w:eastAsia="Calibri" w:hAnsi="Calibri" w:cs="Calibri"/>
          <w:b/>
          <w:color w:val="000000"/>
          <w:sz w:val="22"/>
          <w:szCs w:val="22"/>
          <w:lang w:val="en-US"/>
        </w:rPr>
        <w:t>___________</w:t>
      </w:r>
    </w:p>
    <w:p w14:paraId="73BD9BAB" w14:textId="77777777" w:rsidR="00AB76A9" w:rsidRPr="00FA591C" w:rsidRDefault="00AB76A9" w:rsidP="00AB76A9">
      <w:pPr>
        <w:spacing w:after="120" w:line="240" w:lineRule="auto"/>
        <w:ind w:left="0" w:hanging="2"/>
        <w:jc w:val="both"/>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(position/ scientific degree, academic title/ full name)</w:t>
      </w:r>
    </w:p>
    <w:p w14:paraId="4C09E2A9" w14:textId="77777777" w:rsidR="00AB76A9" w:rsidRPr="00FA591C" w:rsidRDefault="00AB76A9" w:rsidP="00AB76A9">
      <w:pPr>
        <w:spacing w:after="120" w:line="240" w:lineRule="auto"/>
        <w:ind w:left="0" w:hanging="2"/>
        <w:jc w:val="both"/>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 xml:space="preserve">adopted by </w:t>
      </w:r>
      <w:r w:rsidRPr="00FA591C">
        <w:rPr>
          <w:rFonts w:ascii="Calibri" w:eastAsia="Calibri" w:hAnsi="Calibri" w:cs="Calibri"/>
          <w:b/>
          <w:sz w:val="22"/>
          <w:szCs w:val="22"/>
          <w:lang w:val="en-US"/>
        </w:rPr>
        <w:t>D</w:t>
      </w:r>
      <w:r w:rsidRPr="00FA591C">
        <w:rPr>
          <w:rFonts w:ascii="Calibri" w:eastAsia="Calibri" w:hAnsi="Calibri" w:cs="Calibri"/>
          <w:b/>
          <w:color w:val="000000"/>
          <w:sz w:val="22"/>
          <w:szCs w:val="22"/>
          <w:lang w:val="en-US"/>
        </w:rPr>
        <w:t xml:space="preserve">epartment </w:t>
      </w:r>
      <w:r>
        <w:rPr>
          <w:rFonts w:ascii="Calibri" w:eastAsia="Calibri" w:hAnsi="Calibri" w:cs="Calibri"/>
          <w:b/>
          <w:sz w:val="22"/>
          <w:szCs w:val="22"/>
          <w:lang w:val="en-US"/>
        </w:rPr>
        <w:t>of English for Humanities № 3</w:t>
      </w:r>
      <w:r w:rsidRPr="00FA591C">
        <w:rPr>
          <w:rFonts w:ascii="Calibri" w:eastAsia="Calibri" w:hAnsi="Calibri" w:cs="Calibri"/>
          <w:b/>
          <w:sz w:val="22"/>
          <w:szCs w:val="22"/>
          <w:lang w:val="en-US"/>
        </w:rPr>
        <w:t xml:space="preserve"> </w:t>
      </w:r>
      <w:r w:rsidRPr="00FA591C">
        <w:rPr>
          <w:rFonts w:ascii="Calibri" w:eastAsia="Calibri" w:hAnsi="Calibri" w:cs="Calibri"/>
          <w:color w:val="000000"/>
          <w:sz w:val="22"/>
          <w:szCs w:val="22"/>
          <w:lang w:val="en-US"/>
        </w:rPr>
        <w:t>(</w:t>
      </w:r>
      <w:proofErr w:type="gramStart"/>
      <w:r w:rsidRPr="00FA591C">
        <w:rPr>
          <w:rFonts w:ascii="Calibri" w:eastAsia="Calibri" w:hAnsi="Calibri" w:cs="Calibri"/>
          <w:color w:val="000000"/>
          <w:sz w:val="22"/>
          <w:szCs w:val="22"/>
          <w:lang w:val="en-US"/>
        </w:rPr>
        <w:t>Protocol  №</w:t>
      </w:r>
      <w:proofErr w:type="gramEnd"/>
      <w:r w:rsidRPr="00FA591C">
        <w:rPr>
          <w:rFonts w:ascii="Calibri" w:eastAsia="Calibri" w:hAnsi="Calibri" w:cs="Calibri"/>
          <w:color w:val="000000"/>
          <w:sz w:val="22"/>
          <w:szCs w:val="22"/>
          <w:lang w:val="en-US"/>
        </w:rPr>
        <w:t xml:space="preserve"> _</w:t>
      </w:r>
      <w:r>
        <w:rPr>
          <w:rFonts w:ascii="Calibri" w:eastAsia="Calibri" w:hAnsi="Calibri" w:cs="Calibri"/>
          <w:color w:val="000000"/>
          <w:sz w:val="22"/>
          <w:szCs w:val="22"/>
          <w:lang w:val="en-US"/>
        </w:rPr>
        <w:t>7</w:t>
      </w:r>
      <w:r w:rsidRPr="00FA591C">
        <w:rPr>
          <w:rFonts w:ascii="Calibri" w:eastAsia="Calibri" w:hAnsi="Calibri" w:cs="Calibri"/>
          <w:color w:val="000000"/>
          <w:sz w:val="22"/>
          <w:szCs w:val="22"/>
          <w:lang w:val="en-US"/>
        </w:rPr>
        <w:t xml:space="preserve">_ </w:t>
      </w:r>
      <w:r w:rsidRPr="00FA591C">
        <w:rPr>
          <w:rFonts w:ascii="Calibri" w:eastAsia="Calibri" w:hAnsi="Calibri" w:cs="Calibri"/>
          <w:sz w:val="22"/>
          <w:szCs w:val="22"/>
          <w:lang w:val="en-US"/>
        </w:rPr>
        <w:t>, 20 Jan 2021</w:t>
      </w:r>
      <w:r w:rsidRPr="00FA591C">
        <w:rPr>
          <w:rFonts w:ascii="Calibri" w:eastAsia="Calibri" w:hAnsi="Calibri" w:cs="Calibri"/>
          <w:color w:val="000000"/>
          <w:sz w:val="22"/>
          <w:szCs w:val="22"/>
          <w:lang w:val="en-US"/>
        </w:rPr>
        <w:t>)</w:t>
      </w:r>
    </w:p>
    <w:p w14:paraId="32494AD5" w14:textId="77777777" w:rsidR="00AB76A9" w:rsidRPr="00FA591C" w:rsidRDefault="00AB76A9" w:rsidP="00AB76A9">
      <w:pPr>
        <w:spacing w:after="120" w:line="240" w:lineRule="auto"/>
        <w:ind w:left="0" w:hanging="2"/>
        <w:jc w:val="both"/>
        <w:rPr>
          <w:rFonts w:ascii="Calibri" w:eastAsia="Calibri" w:hAnsi="Calibri" w:cs="Calibri"/>
          <w:color w:val="000000"/>
          <w:sz w:val="22"/>
          <w:szCs w:val="22"/>
          <w:lang w:val="en-US"/>
        </w:rPr>
      </w:pPr>
      <w:r w:rsidRPr="00FA591C">
        <w:rPr>
          <w:rFonts w:ascii="Calibri" w:eastAsia="Calibri" w:hAnsi="Calibri" w:cs="Calibri"/>
          <w:b/>
          <w:color w:val="000000"/>
          <w:sz w:val="22"/>
          <w:szCs w:val="22"/>
          <w:lang w:val="en-US"/>
        </w:rPr>
        <w:t>approved by the Faculty Board of Methodology</w:t>
      </w:r>
      <w:r w:rsidRPr="00FA591C">
        <w:rPr>
          <w:rFonts w:ascii="Calibri" w:eastAsia="Calibri" w:hAnsi="Calibri" w:cs="Calibri"/>
          <w:color w:val="000000"/>
          <w:sz w:val="22"/>
          <w:szCs w:val="22"/>
          <w:lang w:val="en-US"/>
        </w:rPr>
        <w:t xml:space="preserve"> (Protocol № _</w:t>
      </w:r>
      <w:proofErr w:type="gramStart"/>
      <w:r w:rsidRPr="00FA591C">
        <w:rPr>
          <w:rFonts w:ascii="Calibri" w:eastAsia="Calibri" w:hAnsi="Calibri" w:cs="Calibri"/>
          <w:color w:val="000000"/>
          <w:sz w:val="22"/>
          <w:szCs w:val="22"/>
          <w:lang w:val="en-US"/>
        </w:rPr>
        <w:t xml:space="preserve">_ </w:t>
      </w:r>
      <w:r w:rsidRPr="00FA591C">
        <w:rPr>
          <w:rFonts w:ascii="Calibri" w:eastAsia="Calibri" w:hAnsi="Calibri" w:cs="Calibri"/>
          <w:sz w:val="22"/>
          <w:szCs w:val="22"/>
          <w:lang w:val="en-US"/>
        </w:rPr>
        <w:t>,</w:t>
      </w:r>
      <w:proofErr w:type="gramEnd"/>
      <w:r w:rsidRPr="00FA591C">
        <w:rPr>
          <w:rFonts w:ascii="Calibri" w:eastAsia="Calibri" w:hAnsi="Calibri" w:cs="Calibri"/>
          <w:sz w:val="22"/>
          <w:szCs w:val="22"/>
          <w:lang w:val="en-US"/>
        </w:rPr>
        <w:t>..........</w:t>
      </w:r>
      <w:r w:rsidRPr="00FA591C">
        <w:rPr>
          <w:rFonts w:ascii="Calibri" w:eastAsia="Calibri" w:hAnsi="Calibri" w:cs="Calibri"/>
          <w:color w:val="000000"/>
          <w:sz w:val="22"/>
          <w:szCs w:val="22"/>
          <w:lang w:val="en-US"/>
        </w:rPr>
        <w:t>)</w:t>
      </w:r>
    </w:p>
    <w:p w14:paraId="40C89443" w14:textId="77777777" w:rsidR="006E793E" w:rsidRDefault="006E793E">
      <w:pPr>
        <w:ind w:left="0" w:hanging="2"/>
      </w:pPr>
    </w:p>
    <w:sectPr w:rsidR="006E793E">
      <w:pgSz w:w="11906" w:h="16838"/>
      <w:pgMar w:top="851" w:right="851" w:bottom="56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81B80"/>
    <w:multiLevelType w:val="multilevel"/>
    <w:tmpl w:val="800A74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A9"/>
    <w:rsid w:val="00486ED9"/>
    <w:rsid w:val="006E793E"/>
    <w:rsid w:val="00AB76A9"/>
    <w:rsid w:val="00D2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F5B6"/>
  <w15:chartTrackingRefBased/>
  <w15:docId w15:val="{BC341DF8-5D81-4939-9A6A-6E272374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76A9"/>
    <w:pPr>
      <w:pBdr>
        <w:top w:val="nil"/>
        <w:left w:val="nil"/>
        <w:bottom w:val="nil"/>
        <w:right w:val="nil"/>
        <w:between w:val="nil"/>
      </w:pBd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position w:val="-1"/>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sova.hanna@l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zklad.kpi.ua/" TargetMode="External"/><Relationship Id="rId12" Type="http://schemas.openxmlformats.org/officeDocument/2006/relationships/hyperlink" Target="https://document.kpi.ua/2020_7-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pi.ua/document_control" TargetMode="External"/><Relationship Id="rId5" Type="http://schemas.openxmlformats.org/officeDocument/2006/relationships/image" Target="media/image1.png"/><Relationship Id="rId10" Type="http://schemas.openxmlformats.org/officeDocument/2006/relationships/hyperlink" Target="https://document.kpi.ua/files/2020_1-273.pdf" TargetMode="External"/><Relationship Id="rId4" Type="http://schemas.openxmlformats.org/officeDocument/2006/relationships/webSettings" Target="webSettings.xml"/><Relationship Id="rId9" Type="http://schemas.openxmlformats.org/officeDocument/2006/relationships/hyperlink" Target="https://kpi.ua/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Kolosova</dc:creator>
  <cp:keywords/>
  <dc:description/>
  <cp:lastModifiedBy>Пользователь</cp:lastModifiedBy>
  <cp:revision>3</cp:revision>
  <dcterms:created xsi:type="dcterms:W3CDTF">2021-02-02T09:16:00Z</dcterms:created>
  <dcterms:modified xsi:type="dcterms:W3CDTF">2021-11-25T14:25:00Z</dcterms:modified>
</cp:coreProperties>
</file>