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BE5006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BE5006" w:rsidRDefault="00AE41A6" w:rsidP="008869B8">
            <w:pPr>
              <w:spacing w:line="240" w:lineRule="auto"/>
              <w:ind w:left="-57"/>
              <w:rPr>
                <w:b/>
                <w:sz w:val="24"/>
                <w:szCs w:val="24"/>
              </w:rPr>
            </w:pPr>
            <w:r w:rsidRPr="00BE5006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20378902" w:rsidR="00AE41A6" w:rsidRPr="00BE5006" w:rsidRDefault="00AE41A6" w:rsidP="008869B8">
            <w:pPr>
              <w:spacing w:line="240" w:lineRule="auto"/>
              <w:ind w:left="-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1276FF95" w:rsidR="00AE41A6" w:rsidRPr="00BE5006" w:rsidRDefault="00AD3CD2" w:rsidP="008869B8">
            <w:pPr>
              <w:spacing w:line="240" w:lineRule="auto"/>
              <w:rPr>
                <w:b/>
                <w:sz w:val="24"/>
                <w:szCs w:val="24"/>
              </w:rPr>
            </w:pPr>
            <w:r w:rsidRPr="00BE5006">
              <w:rPr>
                <w:b/>
                <w:sz w:val="24"/>
                <w:szCs w:val="24"/>
                <w:lang w:val="ru-RU"/>
              </w:rPr>
              <w:t>Кафедра м</w:t>
            </w:r>
            <w:r w:rsidRPr="00BE5006">
              <w:rPr>
                <w:b/>
                <w:sz w:val="24"/>
                <w:szCs w:val="24"/>
              </w:rPr>
              <w:t>іжнародної економіки</w:t>
            </w:r>
          </w:p>
        </w:tc>
      </w:tr>
      <w:tr w:rsidR="007E3190" w:rsidRPr="00BE5006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9346807" w14:textId="66823AF4" w:rsidR="00374C4B" w:rsidRPr="00392D25" w:rsidRDefault="00392D25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Європейська інтеграція</w:t>
            </w:r>
          </w:p>
          <w:p w14:paraId="46D36ADD" w14:textId="0A879A01" w:rsidR="007E3190" w:rsidRPr="00BE5006" w:rsidRDefault="007E3190" w:rsidP="008869B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5006">
              <w:rPr>
                <w:b/>
                <w:sz w:val="24"/>
                <w:szCs w:val="24"/>
              </w:rPr>
              <w:t>Робоча програма навчальної дисципліни</w:t>
            </w:r>
            <w:r w:rsidR="00D82DA7" w:rsidRPr="00BE5006">
              <w:rPr>
                <w:b/>
                <w:sz w:val="24"/>
                <w:szCs w:val="24"/>
              </w:rPr>
              <w:t xml:space="preserve"> (Силабус)</w:t>
            </w:r>
          </w:p>
        </w:tc>
      </w:tr>
    </w:tbl>
    <w:p w14:paraId="2E4C324D" w14:textId="0D46D5E4" w:rsidR="00AA6B23" w:rsidRPr="00BE5006" w:rsidRDefault="00AA6B23" w:rsidP="008869B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BE5006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7A37AA9A" w:rsidR="004A6336" w:rsidRPr="00BE5006" w:rsidRDefault="004A6336" w:rsidP="008869B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 xml:space="preserve">Перший (бакалаврський) </w:t>
            </w:r>
          </w:p>
        </w:tc>
      </w:tr>
      <w:tr w:rsidR="00BE5006" w:rsidRPr="00BE5006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04723E14" w14:textId="4932CFA9" w:rsidR="004A6336" w:rsidRPr="00BE5006" w:rsidRDefault="00FA0D33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05 соціальні та поведінкові науки</w:t>
            </w:r>
          </w:p>
        </w:tc>
      </w:tr>
      <w:tr w:rsidR="00BE5006" w:rsidRPr="00BE5006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4E6EFE5C" w14:textId="54CAE0EE" w:rsidR="004A6336" w:rsidRPr="00BE5006" w:rsidRDefault="00FA0D33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051 економіка</w:t>
            </w:r>
          </w:p>
        </w:tc>
      </w:tr>
      <w:tr w:rsidR="00BE5006" w:rsidRPr="00BE5006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27C06EB5" w:rsidR="004A6336" w:rsidRPr="00BE5006" w:rsidRDefault="004F3774" w:rsidP="00D41E31">
            <w:pPr>
              <w:tabs>
                <w:tab w:val="left" w:leader="underscore" w:pos="8080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«</w:t>
            </w:r>
            <w:r w:rsidR="00FA0D33" w:rsidRPr="00BE5006">
              <w:rPr>
                <w:i/>
                <w:sz w:val="24"/>
                <w:szCs w:val="24"/>
              </w:rPr>
              <w:t>Міжнародні економіка</w:t>
            </w:r>
            <w:r w:rsidR="00BE5006" w:rsidRPr="00BE5006">
              <w:rPr>
                <w:i/>
                <w:sz w:val="24"/>
                <w:szCs w:val="24"/>
              </w:rPr>
              <w:t xml:space="preserve">» </w:t>
            </w:r>
          </w:p>
        </w:tc>
      </w:tr>
      <w:tr w:rsidR="00BE5006" w:rsidRPr="00BE5006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BE5006" w:rsidRDefault="00AB05C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 xml:space="preserve">Статус </w:t>
            </w:r>
            <w:r w:rsidR="003D35CF" w:rsidRPr="00BE5006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74E958CF" w14:textId="6F8CF6EF" w:rsidR="008B7D0D" w:rsidRPr="00BE5006" w:rsidRDefault="008B7D0D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Обов’язковий</w:t>
            </w:r>
          </w:p>
        </w:tc>
      </w:tr>
      <w:tr w:rsidR="00BE5006" w:rsidRPr="00BE5006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4D7C4835" w:rsidR="00894491" w:rsidRPr="00BE5006" w:rsidRDefault="00894491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01046C57" w:rsidR="00894491" w:rsidRPr="00BE5006" w:rsidRDefault="00F66986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Д</w:t>
            </w:r>
            <w:r w:rsidR="00374C4B" w:rsidRPr="00BE5006">
              <w:rPr>
                <w:i/>
                <w:sz w:val="24"/>
                <w:szCs w:val="24"/>
              </w:rPr>
              <w:t>енна</w:t>
            </w:r>
          </w:p>
        </w:tc>
      </w:tr>
      <w:tr w:rsidR="00BE5006" w:rsidRPr="00BE5006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BE5006" w:rsidRDefault="007244E1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9A9834E" w:rsidR="007244E1" w:rsidRPr="00BE5006" w:rsidRDefault="00C91746" w:rsidP="00392D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 курс ос</w:t>
            </w:r>
            <w:r w:rsidR="00392D25">
              <w:rPr>
                <w:i/>
                <w:sz w:val="24"/>
                <w:szCs w:val="24"/>
                <w:lang w:val="ru-RU"/>
              </w:rPr>
              <w:t>інній</w:t>
            </w:r>
            <w:bookmarkStart w:id="0" w:name="_GoBack"/>
            <w:bookmarkEnd w:id="0"/>
            <w:r>
              <w:rPr>
                <w:i/>
                <w:sz w:val="24"/>
                <w:szCs w:val="24"/>
                <w:lang w:val="ru-RU"/>
              </w:rPr>
              <w:t xml:space="preserve"> семестр,</w:t>
            </w:r>
            <w:r w:rsidR="0098574A">
              <w:rPr>
                <w:i/>
                <w:sz w:val="24"/>
                <w:szCs w:val="24"/>
              </w:rPr>
              <w:t>3</w:t>
            </w:r>
            <w:r w:rsidR="007244E1" w:rsidRPr="00BE5006">
              <w:rPr>
                <w:i/>
                <w:sz w:val="24"/>
                <w:szCs w:val="24"/>
              </w:rPr>
              <w:t xml:space="preserve"> курс, </w:t>
            </w:r>
            <w:r w:rsidR="00D41E31">
              <w:rPr>
                <w:i/>
                <w:sz w:val="24"/>
                <w:szCs w:val="24"/>
              </w:rPr>
              <w:t>весня</w:t>
            </w:r>
            <w:r w:rsidR="007244E1" w:rsidRPr="00BE5006">
              <w:rPr>
                <w:i/>
                <w:sz w:val="24"/>
                <w:szCs w:val="24"/>
              </w:rPr>
              <w:t>н</w:t>
            </w:r>
            <w:r w:rsidR="00D41E31">
              <w:rPr>
                <w:i/>
                <w:sz w:val="24"/>
                <w:szCs w:val="24"/>
              </w:rPr>
              <w:t>и</w:t>
            </w:r>
            <w:r w:rsidR="007244E1" w:rsidRPr="00BE5006">
              <w:rPr>
                <w:i/>
                <w:sz w:val="24"/>
                <w:szCs w:val="24"/>
              </w:rPr>
              <w:t>й семестр</w:t>
            </w:r>
          </w:p>
        </w:tc>
      </w:tr>
      <w:tr w:rsidR="00BE5006" w:rsidRPr="00BE5006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BE5006" w:rsidRDefault="006F5C2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7761BAF" w:rsidR="004A6336" w:rsidRPr="00C15C21" w:rsidRDefault="00C15C21" w:rsidP="00A52B9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30</w:t>
            </w:r>
          </w:p>
        </w:tc>
      </w:tr>
      <w:tr w:rsidR="00BE5006" w:rsidRPr="00BE5006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BE5006" w:rsidRDefault="007244E1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E7E8967" w:rsidR="007244E1" w:rsidRPr="00C15C21" w:rsidRDefault="00C15C21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зал</w:t>
            </w:r>
            <w:r>
              <w:rPr>
                <w:i/>
                <w:sz w:val="24"/>
                <w:szCs w:val="24"/>
              </w:rPr>
              <w:t>ік</w:t>
            </w:r>
          </w:p>
        </w:tc>
      </w:tr>
      <w:tr w:rsidR="007E3190" w:rsidRPr="00BE5006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BE5006" w:rsidRDefault="004A6336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</w:p>
        </w:tc>
      </w:tr>
      <w:tr w:rsidR="00BE5006" w:rsidRPr="00BE5006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BE5006" w:rsidRDefault="004A6336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582B295" w:rsidR="004A6336" w:rsidRPr="00BE5006" w:rsidRDefault="00306C33" w:rsidP="008869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Українська</w:t>
            </w:r>
          </w:p>
        </w:tc>
      </w:tr>
      <w:tr w:rsidR="00BE5006" w:rsidRPr="00BE5006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BE5006" w:rsidRDefault="006F5C2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 xml:space="preserve">Інформація про </w:t>
            </w:r>
            <w:r w:rsidRPr="00BE5006">
              <w:rPr>
                <w:sz w:val="24"/>
                <w:szCs w:val="24"/>
              </w:rPr>
              <w:br/>
            </w:r>
            <w:r w:rsidRPr="00BE5006">
              <w:rPr>
                <w:sz w:val="24"/>
                <w:szCs w:val="24"/>
                <w:lang w:val="ru-RU"/>
              </w:rPr>
              <w:t>к</w:t>
            </w:r>
            <w:r w:rsidR="00D82DA7" w:rsidRPr="00BE5006">
              <w:rPr>
                <w:sz w:val="24"/>
                <w:szCs w:val="24"/>
              </w:rPr>
              <w:t>ерівник</w:t>
            </w:r>
            <w:r w:rsidRPr="00BE5006">
              <w:rPr>
                <w:sz w:val="24"/>
                <w:szCs w:val="24"/>
              </w:rPr>
              <w:t>а</w:t>
            </w:r>
            <w:r w:rsidR="00D82DA7" w:rsidRPr="00BE5006">
              <w:rPr>
                <w:sz w:val="24"/>
                <w:szCs w:val="24"/>
              </w:rPr>
              <w:t xml:space="preserve"> курсу / викладачі</w:t>
            </w:r>
            <w:r w:rsidR="007244E1" w:rsidRPr="00BE5006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718587B4" w14:textId="1CC821EA" w:rsidR="00CF6DE8" w:rsidRPr="00BE5006" w:rsidRDefault="00930E42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5006">
              <w:rPr>
                <w:i/>
                <w:sz w:val="24"/>
                <w:szCs w:val="24"/>
              </w:rPr>
              <w:t>Петренко Катерина Валеріївна, к.е.н., доцент</w:t>
            </w:r>
            <w:r w:rsidR="004A6336" w:rsidRPr="00BE5006">
              <w:rPr>
                <w:sz w:val="24"/>
                <w:szCs w:val="24"/>
              </w:rPr>
              <w:t xml:space="preserve"> </w:t>
            </w:r>
            <w:hyperlink r:id="rId12" w:history="1">
              <w:r w:rsidR="004F3774" w:rsidRPr="007D73E2">
                <w:rPr>
                  <w:rStyle w:val="a5"/>
                  <w:color w:val="auto"/>
                  <w:sz w:val="24"/>
                  <w:szCs w:val="24"/>
                  <w:u w:val="none"/>
                </w:rPr>
                <w:t>petrenko.kateryna@lll.kpi.ua</w:t>
              </w:r>
            </w:hyperlink>
            <w:r w:rsidR="00CF6DE8" w:rsidRPr="00BE5006">
              <w:rPr>
                <w:sz w:val="24"/>
                <w:szCs w:val="24"/>
              </w:rPr>
              <w:t xml:space="preserve"> </w:t>
            </w:r>
          </w:p>
          <w:p w14:paraId="5087E867" w14:textId="4F4E5593" w:rsidR="00BE5006" w:rsidRPr="00BE5006" w:rsidRDefault="00BE5006" w:rsidP="008869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5006" w:rsidRPr="00BE5006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BE5006" w:rsidRDefault="006F5C29" w:rsidP="008869B8">
            <w:pPr>
              <w:spacing w:line="240" w:lineRule="auto"/>
              <w:rPr>
                <w:sz w:val="24"/>
                <w:szCs w:val="24"/>
              </w:rPr>
            </w:pPr>
            <w:r w:rsidRPr="00BE5006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530CD563" w14:textId="77777777" w:rsidR="00BE5006" w:rsidRPr="00A52B98" w:rsidRDefault="006F5C29" w:rsidP="00A52B9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B98">
              <w:rPr>
                <w:sz w:val="24"/>
                <w:szCs w:val="24"/>
              </w:rPr>
              <w:t xml:space="preserve">Посилання на дистанційний ресурс </w:t>
            </w:r>
            <w:r w:rsidR="00A52B98" w:rsidRPr="00A52B98">
              <w:rPr>
                <w:sz w:val="24"/>
                <w:szCs w:val="24"/>
              </w:rPr>
              <w:t xml:space="preserve">https://classroom.google.com/u/2/c/MTAwMDUwNzAxOTIw </w:t>
            </w:r>
          </w:p>
          <w:p w14:paraId="5CDD1149" w14:textId="2E6329D5" w:rsidR="00A52B98" w:rsidRPr="00A52B98" w:rsidRDefault="00A52B98" w:rsidP="00922254">
            <w:pPr>
              <w:shd w:val="clear" w:color="auto" w:fill="1967D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88F9975" w14:textId="78917BE2" w:rsidR="004A6336" w:rsidRPr="00BE5006" w:rsidRDefault="00AA6B23" w:rsidP="008869B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Програма навчальної дисципліни</w:t>
      </w:r>
    </w:p>
    <w:p w14:paraId="47FEEEF3" w14:textId="2D38F14A" w:rsidR="004A6336" w:rsidRPr="00BE5006" w:rsidRDefault="004D1575" w:rsidP="008869B8">
      <w:pPr>
        <w:pStyle w:val="1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Опис</w:t>
      </w:r>
      <w:r w:rsidR="004A6336" w:rsidRPr="00BE5006">
        <w:rPr>
          <w:rFonts w:ascii="Times New Roman" w:hAnsi="Times New Roman"/>
          <w:color w:val="auto"/>
        </w:rPr>
        <w:t xml:space="preserve"> </w:t>
      </w:r>
      <w:r w:rsidR="00AA6B23" w:rsidRPr="00BE5006">
        <w:rPr>
          <w:rFonts w:ascii="Times New Roman" w:hAnsi="Times New Roman"/>
          <w:color w:val="auto"/>
        </w:rPr>
        <w:t xml:space="preserve">навчальної </w:t>
      </w:r>
      <w:r w:rsidR="004A6336" w:rsidRPr="00BE5006">
        <w:rPr>
          <w:rFonts w:ascii="Times New Roman" w:hAnsi="Times New Roman"/>
          <w:color w:val="auto"/>
        </w:rPr>
        <w:t>дисципліни</w:t>
      </w:r>
      <w:r w:rsidR="006F5C29" w:rsidRPr="00BE5006">
        <w:rPr>
          <w:rFonts w:ascii="Times New Roman" w:hAnsi="Times New Roman"/>
          <w:color w:val="auto"/>
        </w:rPr>
        <w:t>, її мета, предмет вивчання та результати навчання</w:t>
      </w:r>
    </w:p>
    <w:p w14:paraId="66F26BAC" w14:textId="77777777" w:rsidR="00A52B98" w:rsidRPr="00700ADB" w:rsidRDefault="00A52B98" w:rsidP="00A52B98">
      <w:pPr>
        <w:ind w:firstLine="709"/>
        <w:jc w:val="both"/>
        <w:rPr>
          <w:sz w:val="20"/>
          <w:szCs w:val="20"/>
        </w:rPr>
      </w:pPr>
    </w:p>
    <w:p w14:paraId="2FE6A85F" w14:textId="77777777" w:rsidR="00C15C21" w:rsidRPr="00C15C21" w:rsidRDefault="00C15C21" w:rsidP="00C15C21">
      <w:pPr>
        <w:pStyle w:val="a0"/>
        <w:numPr>
          <w:ilvl w:val="0"/>
          <w:numId w:val="25"/>
        </w:numPr>
        <w:tabs>
          <w:tab w:val="left" w:leader="underscore" w:pos="8080"/>
        </w:tabs>
        <w:jc w:val="both"/>
        <w:rPr>
          <w:b/>
          <w:sz w:val="24"/>
          <w:szCs w:val="24"/>
        </w:rPr>
      </w:pPr>
      <w:r w:rsidRPr="00C15C21">
        <w:rPr>
          <w:sz w:val="24"/>
          <w:szCs w:val="24"/>
        </w:rPr>
        <w:t xml:space="preserve">Кредитний модуль "Інтеграційні процеси: європейська інтеграція" </w:t>
      </w:r>
      <w:r w:rsidRPr="00C15C21">
        <w:rPr>
          <w:bCs/>
          <w:sz w:val="24"/>
          <w:szCs w:val="24"/>
        </w:rPr>
        <w:t xml:space="preserve">є </w:t>
      </w:r>
      <w:r w:rsidRPr="00C15C21">
        <w:rPr>
          <w:sz w:val="24"/>
          <w:szCs w:val="24"/>
        </w:rPr>
        <w:t>складовою частиною дисципліни "Інтеграційні процеси" і обов’язковим у підготовці бакалаврів за освітньою програмою «Міжнародна економіка»</w:t>
      </w:r>
    </w:p>
    <w:p w14:paraId="3ED61D74" w14:textId="77777777" w:rsidR="00C15C21" w:rsidRPr="00C15C21" w:rsidRDefault="00C15C21" w:rsidP="00C15C21">
      <w:pPr>
        <w:pStyle w:val="a0"/>
        <w:numPr>
          <w:ilvl w:val="0"/>
          <w:numId w:val="25"/>
        </w:numPr>
        <w:jc w:val="both"/>
        <w:rPr>
          <w:sz w:val="24"/>
          <w:szCs w:val="24"/>
        </w:rPr>
      </w:pPr>
      <w:r w:rsidRPr="00C15C21">
        <w:rPr>
          <w:sz w:val="24"/>
          <w:szCs w:val="24"/>
        </w:rPr>
        <w:t xml:space="preserve">Вивчається після кредитного модуля „Інтеграційні процеси : вступ до спеціальності”. Кредитний модуль „ Інтеграційні процеси: європейська інтеграція" набуває особливо важливого значення в контексті сталого розвитку інтеграційних процесів у світі, проголошеного і законодавчо закріпленого Україною курсу на інтеграцію до Європейського Союзу, тенденціями економічного співробітництва України та країн ЄС. Кредитний модуль «Інтеграційні процеси: європейська інтеграція» забезпечує фундамент для подальшого вивчення таких модулів, як «Міжнародна Міжнародна економіка 2: Економіка зарубіжних країн», «Міжнародні фінанси», «Світогосподарські зв'язки; Міжнародні економічні відносини», а також слугує засобом формування у студентів системного осмислення інтеграційних процесів </w:t>
      </w:r>
    </w:p>
    <w:p w14:paraId="158C5C84" w14:textId="77777777" w:rsidR="00FF571B" w:rsidRPr="00967D7A" w:rsidRDefault="00FF571B" w:rsidP="00FF571B">
      <w:pPr>
        <w:pStyle w:val="Level2"/>
        <w:numPr>
          <w:ilvl w:val="0"/>
          <w:numId w:val="25"/>
        </w:numPr>
        <w:spacing w:after="0"/>
        <w:ind w:hanging="254"/>
        <w:jc w:val="both"/>
        <w:rPr>
          <w:rFonts w:ascii="Times New Roman" w:hAnsi="Times New Roman"/>
          <w:sz w:val="24"/>
          <w:szCs w:val="24"/>
          <w:lang w:val="uk-UA"/>
        </w:rPr>
      </w:pPr>
      <w:r w:rsidRPr="00967D7A">
        <w:rPr>
          <w:rFonts w:ascii="Times New Roman" w:hAnsi="Times New Roman"/>
          <w:sz w:val="24"/>
          <w:szCs w:val="24"/>
          <w:lang w:val="uk-UA"/>
        </w:rPr>
        <w:t xml:space="preserve">Основною метою навчальної дисципліни є формування знань щодо структури та особливостей функціонування європейського союзу в контексті сталого розвитку інтеграційних процесів у світі, та тенденцій економічного співробітництва України з країнами ЄС. </w:t>
      </w:r>
    </w:p>
    <w:p w14:paraId="44C5E82E" w14:textId="77777777" w:rsidR="00FF571B" w:rsidRPr="00F354DB" w:rsidRDefault="00FF571B" w:rsidP="00FF571B">
      <w:pPr>
        <w:pStyle w:val="Level2"/>
        <w:numPr>
          <w:ilvl w:val="0"/>
          <w:numId w:val="25"/>
        </w:numPr>
        <w:spacing w:after="0"/>
        <w:ind w:hanging="254"/>
        <w:jc w:val="both"/>
        <w:rPr>
          <w:rFonts w:ascii="Times New Roman" w:hAnsi="Times New Roman"/>
          <w:sz w:val="24"/>
          <w:szCs w:val="24"/>
          <w:lang w:val="uk-UA"/>
        </w:rPr>
      </w:pPr>
      <w:r w:rsidRPr="00967D7A">
        <w:rPr>
          <w:rFonts w:ascii="Times New Roman" w:hAnsi="Times New Roman"/>
          <w:sz w:val="24"/>
          <w:szCs w:val="24"/>
          <w:lang w:val="uk-UA"/>
        </w:rPr>
        <w:t xml:space="preserve">У результаті вивчення будуть здобуті навички щодо аналізу з розв’язування завдань стосовно </w:t>
      </w:r>
      <w:r w:rsidRPr="00F354DB">
        <w:rPr>
          <w:rFonts w:ascii="Times New Roman" w:hAnsi="Times New Roman"/>
          <w:sz w:val="24"/>
          <w:szCs w:val="24"/>
          <w:lang w:val="uk-UA"/>
        </w:rPr>
        <w:t xml:space="preserve">європейської інтеграції країни та вирішення практичних проблем під час інтеграційних процесів у сфері регіонального та місцевого управління, що передбачає застосування теорій та наукових методів регіонального управління. </w:t>
      </w:r>
    </w:p>
    <w:p w14:paraId="7768F756" w14:textId="77777777" w:rsidR="00FF571B" w:rsidRPr="00F354DB" w:rsidRDefault="00FF571B" w:rsidP="00FF571B">
      <w:pPr>
        <w:pStyle w:val="Level2"/>
        <w:numPr>
          <w:ilvl w:val="0"/>
          <w:numId w:val="25"/>
        </w:numPr>
        <w:spacing w:after="0"/>
        <w:ind w:hanging="254"/>
        <w:jc w:val="both"/>
        <w:rPr>
          <w:rFonts w:ascii="Times New Roman" w:hAnsi="Times New Roman"/>
          <w:sz w:val="24"/>
          <w:szCs w:val="24"/>
          <w:lang w:val="uk-UA"/>
        </w:rPr>
      </w:pPr>
      <w:r w:rsidRPr="00F354DB">
        <w:rPr>
          <w:rFonts w:ascii="Times New Roman" w:hAnsi="Times New Roman"/>
          <w:sz w:val="24"/>
          <w:szCs w:val="24"/>
          <w:lang w:val="uk-UA"/>
        </w:rPr>
        <w:t xml:space="preserve">Здобувачі вищої освіти ознайомляться з кращими зарубіжними практиками діяльності регіональних органів влади, а також передбачено вивчення основних нормативно-правових актів та положень законодавства, що регулюють інтеграційні процеси в Європі. </w:t>
      </w:r>
    </w:p>
    <w:p w14:paraId="10E59B27" w14:textId="77777777" w:rsidR="00FF571B" w:rsidRPr="00F354DB" w:rsidRDefault="00FF571B" w:rsidP="00FF571B">
      <w:pPr>
        <w:spacing w:before="120" w:line="240" w:lineRule="auto"/>
        <w:jc w:val="both"/>
        <w:rPr>
          <w:sz w:val="24"/>
          <w:szCs w:val="24"/>
        </w:rPr>
      </w:pPr>
      <w:r w:rsidRPr="00F354DB">
        <w:rPr>
          <w:sz w:val="24"/>
          <w:szCs w:val="24"/>
        </w:rPr>
        <w:lastRenderedPageBreak/>
        <w:t>Під час вивчення навчальної дисципліни здобувачі вищої освіти:</w:t>
      </w:r>
    </w:p>
    <w:p w14:paraId="537DD2DA" w14:textId="77777777" w:rsidR="00FF571B" w:rsidRPr="00F354DB" w:rsidRDefault="00FF571B" w:rsidP="00FF571B">
      <w:pPr>
        <w:pStyle w:val="Level2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54DB">
        <w:rPr>
          <w:rFonts w:ascii="Times New Roman" w:hAnsi="Times New Roman"/>
          <w:sz w:val="24"/>
          <w:szCs w:val="24"/>
        </w:rPr>
        <w:t xml:space="preserve">отримають навички з </w:t>
      </w:r>
      <w:r w:rsidRPr="00F354DB">
        <w:rPr>
          <w:rFonts w:ascii="Times New Roman" w:hAnsi="Times New Roman"/>
          <w:sz w:val="24"/>
          <w:szCs w:val="24"/>
          <w:lang w:val="uk-UA"/>
        </w:rPr>
        <w:t>розуміння інтеграційних процесів, принципів та закономірностей розвитку форм та практики створення та функціонування Європейського Союзу;</w:t>
      </w:r>
    </w:p>
    <w:p w14:paraId="1D0ECB11" w14:textId="77777777" w:rsidR="00FF571B" w:rsidRPr="00F354DB" w:rsidRDefault="00FF571B" w:rsidP="00FF571B">
      <w:pPr>
        <w:numPr>
          <w:ilvl w:val="0"/>
          <w:numId w:val="25"/>
        </w:numPr>
        <w:tabs>
          <w:tab w:val="left" w:pos="27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54DB">
        <w:rPr>
          <w:sz w:val="24"/>
          <w:szCs w:val="24"/>
        </w:rPr>
        <w:t>оволодіють навиками агрегувати знання про теоретичний зміст та особливості еволюції розвитку інтеграційних процесів; критично оцінювати й переосмислювати накопичений досвід (власний і чужий), аналізувати свою професійну й соціальну діяльність;</w:t>
      </w:r>
    </w:p>
    <w:p w14:paraId="5B9104CB" w14:textId="77777777" w:rsidR="00FF571B" w:rsidRPr="00F354DB" w:rsidRDefault="00FF571B" w:rsidP="00FF571B">
      <w:pPr>
        <w:numPr>
          <w:ilvl w:val="0"/>
          <w:numId w:val="25"/>
        </w:numPr>
        <w:tabs>
          <w:tab w:val="left" w:pos="27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54DB">
        <w:rPr>
          <w:sz w:val="24"/>
          <w:szCs w:val="24"/>
        </w:rPr>
        <w:t>набудуть навичок вести дослідницьку діяльність, включаючи аналіз проблем, постановку цілей і завдань, вибір способу й методів дослідження, а також оцінку його якості;</w:t>
      </w:r>
    </w:p>
    <w:p w14:paraId="6571D3BC" w14:textId="77777777" w:rsidR="00FF571B" w:rsidRPr="00F354DB" w:rsidRDefault="00FF571B" w:rsidP="00FF571B">
      <w:pPr>
        <w:numPr>
          <w:ilvl w:val="0"/>
          <w:numId w:val="25"/>
        </w:numPr>
        <w:tabs>
          <w:tab w:val="left" w:pos="27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354DB">
        <w:rPr>
          <w:sz w:val="24"/>
          <w:szCs w:val="24"/>
        </w:rPr>
        <w:t>оволодіють теоретичними знаннями з метою збереження та примноження моральних, культурних, наукових цінностей і досягнень суспільства на основі розуміння історії та закономірностей розвитку європейського співтовариства</w:t>
      </w:r>
    </w:p>
    <w:p w14:paraId="5AD4B407" w14:textId="77777777" w:rsidR="00FF571B" w:rsidRPr="00F354DB" w:rsidRDefault="00FF571B" w:rsidP="00FF571B">
      <w:pPr>
        <w:pStyle w:val="a0"/>
        <w:numPr>
          <w:ilvl w:val="0"/>
          <w:numId w:val="25"/>
        </w:numPr>
        <w:spacing w:after="200" w:line="240" w:lineRule="auto"/>
        <w:ind w:left="0" w:firstLine="567"/>
        <w:jc w:val="both"/>
        <w:rPr>
          <w:sz w:val="24"/>
          <w:szCs w:val="24"/>
        </w:rPr>
      </w:pPr>
      <w:r w:rsidRPr="00F354DB">
        <w:rPr>
          <w:sz w:val="24"/>
          <w:szCs w:val="24"/>
        </w:rPr>
        <w:t>отримають навички з критичного і самокритичного мислення на основі нормативно-правових та морально-етичних норм поведінки з розумінням історії і закономірностей розвитку інтеграційних процесів, та їх впливу на регіональне управління;</w:t>
      </w:r>
    </w:p>
    <w:p w14:paraId="2D0B5D7D" w14:textId="77777777" w:rsidR="00FF571B" w:rsidRPr="00F354DB" w:rsidRDefault="00FF571B" w:rsidP="00FF571B">
      <w:pPr>
        <w:pStyle w:val="a0"/>
        <w:numPr>
          <w:ilvl w:val="0"/>
          <w:numId w:val="25"/>
        </w:numPr>
        <w:spacing w:before="120" w:line="240" w:lineRule="auto"/>
        <w:ind w:left="0" w:firstLine="567"/>
        <w:jc w:val="both"/>
        <w:rPr>
          <w:sz w:val="24"/>
          <w:szCs w:val="24"/>
        </w:rPr>
      </w:pPr>
      <w:bookmarkStart w:id="1" w:name="_Hlk31186810"/>
      <w:bookmarkStart w:id="2" w:name="_Hlk31185713"/>
      <w:r w:rsidRPr="00F354DB">
        <w:rPr>
          <w:sz w:val="24"/>
          <w:szCs w:val="24"/>
        </w:rPr>
        <w:t xml:space="preserve">здобудуть навики </w:t>
      </w:r>
      <w:bookmarkEnd w:id="1"/>
      <w:bookmarkEnd w:id="2"/>
      <w:r w:rsidRPr="00F354DB">
        <w:rPr>
          <w:sz w:val="24"/>
          <w:szCs w:val="24"/>
        </w:rPr>
        <w:t>з дослідницької та пошукової діяльності, оброблення та аналізу інформації регіонального значення їх систематизація за нормативно-правовими актами ЄС.</w:t>
      </w:r>
    </w:p>
    <w:p w14:paraId="6DA26C36" w14:textId="46574B9A" w:rsidR="004A6336" w:rsidRPr="00F354DB" w:rsidRDefault="004A6336" w:rsidP="008869B8">
      <w:pPr>
        <w:pStyle w:val="1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F354DB">
        <w:rPr>
          <w:rFonts w:ascii="Times New Roman" w:hAnsi="Times New Roman"/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054A7D8C" w14:textId="77777777" w:rsidR="00A52B98" w:rsidRPr="00F354DB" w:rsidRDefault="00A52B98" w:rsidP="00A52B98">
      <w:pPr>
        <w:jc w:val="both"/>
        <w:rPr>
          <w:sz w:val="24"/>
          <w:szCs w:val="24"/>
        </w:rPr>
      </w:pPr>
      <w:r w:rsidRPr="00F354DB">
        <w:rPr>
          <w:sz w:val="24"/>
          <w:szCs w:val="24"/>
        </w:rPr>
        <w:t>Вивчається після кредитного модуля „Інтеграційні процеси : вступ до спеціальності”. Кредитний модуль „ Інтеграційні процеси: європейська інтеграція" набуває особливо важливого значення в контексті сталого розвитку інтеграційних процесів у світі, проголошеного і законодавчо закріпленого Україною курсу на інтеграцію до Європейського Союзу, тенденціями економічного співробітництва України та країн ЄС.</w:t>
      </w:r>
    </w:p>
    <w:p w14:paraId="6BDDD0E7" w14:textId="77777777" w:rsidR="00B1713B" w:rsidRPr="00F354DB" w:rsidRDefault="00AA6B23" w:rsidP="008869B8">
      <w:pPr>
        <w:pStyle w:val="1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F354DB">
        <w:rPr>
          <w:rFonts w:ascii="Times New Roman" w:hAnsi="Times New Roman"/>
          <w:color w:val="auto"/>
        </w:rPr>
        <w:t xml:space="preserve">Зміст навчальної дисципліни </w:t>
      </w:r>
    </w:p>
    <w:p w14:paraId="08FE5AE1" w14:textId="77777777" w:rsidR="007B73B2" w:rsidRDefault="007B73B2" w:rsidP="007B73B2">
      <w:pPr>
        <w:keepNext/>
        <w:spacing w:before="240" w:after="120"/>
        <w:jc w:val="center"/>
      </w:pPr>
      <w:r>
        <w:rPr>
          <w:b/>
          <w:bCs/>
        </w:rPr>
        <w:t>ГРАФІК ВИКОНАННЯ КУРСОВОЇ РОБОТИ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5607"/>
        <w:gridCol w:w="992"/>
        <w:gridCol w:w="938"/>
      </w:tblGrid>
      <w:tr w:rsidR="007B73B2" w14:paraId="271DA87A" w14:textId="77777777" w:rsidTr="007B73B2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126D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sz w:val="24"/>
                <w:szCs w:val="24"/>
              </w:rPr>
              <w:t>Тиждень семестру</w:t>
            </w:r>
          </w:p>
        </w:tc>
        <w:tc>
          <w:tcPr>
            <w:tcW w:w="5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CAB46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sz w:val="24"/>
                <w:szCs w:val="24"/>
              </w:rPr>
              <w:t>Назва етапу роботи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87CE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sz w:val="24"/>
                <w:szCs w:val="24"/>
              </w:rPr>
              <w:t>Навчальний час</w:t>
            </w:r>
          </w:p>
        </w:tc>
      </w:tr>
      <w:tr w:rsidR="007B73B2" w14:paraId="33324921" w14:textId="77777777" w:rsidTr="007B73B2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2477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C266" w14:textId="77777777" w:rsidR="007B73B2" w:rsidRPr="007B73B2" w:rsidRDefault="007B73B2" w:rsidP="007B73B2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7C61" w14:textId="77777777" w:rsidR="007B73B2" w:rsidRPr="007B73B2" w:rsidRDefault="007B73B2" w:rsidP="007B73B2">
            <w:pPr>
              <w:jc w:val="center"/>
              <w:rPr>
                <w:sz w:val="24"/>
                <w:szCs w:val="24"/>
              </w:rPr>
            </w:pPr>
            <w:r w:rsidRPr="007B73B2">
              <w:rPr>
                <w:sz w:val="24"/>
                <w:szCs w:val="24"/>
              </w:rPr>
              <w:t>Ауд.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46FE" w14:textId="77777777" w:rsidR="007B73B2" w:rsidRPr="007B73B2" w:rsidRDefault="007B73B2" w:rsidP="007B73B2">
            <w:pPr>
              <w:jc w:val="center"/>
              <w:rPr>
                <w:sz w:val="24"/>
                <w:szCs w:val="24"/>
              </w:rPr>
            </w:pPr>
            <w:r w:rsidRPr="007B73B2">
              <w:rPr>
                <w:sz w:val="24"/>
                <w:szCs w:val="24"/>
              </w:rPr>
              <w:t>СРС</w:t>
            </w:r>
          </w:p>
        </w:tc>
      </w:tr>
      <w:tr w:rsidR="007B73B2" w14:paraId="6C7E8E90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3C13" w14:textId="77777777" w:rsidR="007B73B2" w:rsidRPr="007B73B2" w:rsidRDefault="007B73B2" w:rsidP="007B73B2">
            <w:pPr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6A82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Отримання теми та завдання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F39E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A793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</w:rPr>
              <w:t>1</w:t>
            </w:r>
          </w:p>
        </w:tc>
      </w:tr>
      <w:tr w:rsidR="007B73B2" w14:paraId="1553BCB5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1430" w14:textId="77777777" w:rsidR="007B73B2" w:rsidRPr="007B73B2" w:rsidRDefault="007B73B2" w:rsidP="007B73B2">
            <w:pPr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3-5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423E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Підбор та вивчення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FEF8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3DA5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7B73B2" w14:paraId="6A0E5741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3675" w14:textId="77777777" w:rsidR="007B73B2" w:rsidRPr="007B73B2" w:rsidRDefault="007B73B2" w:rsidP="007B73B2">
            <w:pPr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6-7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404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Виконання розділу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DB4E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0E9B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7B73B2" w14:paraId="065B0F3C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37B3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bCs/>
                <w:i/>
                <w:sz w:val="24"/>
                <w:szCs w:val="24"/>
              </w:rPr>
              <w:t>8-9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94C3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Виконання розділу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C24D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C60F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7B73B2" w14:paraId="3FE62AA3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25D8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bCs/>
                <w:i/>
                <w:sz w:val="24"/>
                <w:szCs w:val="24"/>
              </w:rPr>
              <w:t>10-12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C064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Виконання розділу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659C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1519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7B73B2" w14:paraId="1F3CDD57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7EC9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bCs/>
                <w:i/>
                <w:sz w:val="24"/>
                <w:szCs w:val="24"/>
              </w:rPr>
              <w:t>13-14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2E179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Виконання розділу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D3EC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CD09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7B73B2" w14:paraId="18F26464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0AE0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bCs/>
                <w:i/>
                <w:sz w:val="24"/>
                <w:szCs w:val="24"/>
              </w:rPr>
            </w:pPr>
            <w:r w:rsidRPr="007B73B2">
              <w:rPr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1D07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7B73B2">
              <w:rPr>
                <w:bCs/>
                <w:i/>
                <w:sz w:val="24"/>
                <w:szCs w:val="24"/>
              </w:rPr>
              <w:t>Підготовка висновків за результатами виконання 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4D83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8EBB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</w:rPr>
              <w:t>2</w:t>
            </w:r>
          </w:p>
        </w:tc>
      </w:tr>
      <w:tr w:rsidR="007B73B2" w14:paraId="3A37C304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1C9B" w14:textId="77777777" w:rsidR="007B73B2" w:rsidRPr="007B73B2" w:rsidRDefault="007B73B2" w:rsidP="007B73B2">
            <w:pPr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3CB4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Подання курсової роботи на перевірку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896E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F1BD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7B73B2" w14:paraId="2EE7E1A0" w14:textId="77777777" w:rsidTr="007B73B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44C0" w14:textId="77777777" w:rsidR="007B73B2" w:rsidRPr="007B73B2" w:rsidRDefault="007B73B2" w:rsidP="007B73B2">
            <w:pPr>
              <w:jc w:val="center"/>
              <w:rPr>
                <w:i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3A7D" w14:textId="77777777" w:rsidR="007B73B2" w:rsidRPr="007B73B2" w:rsidRDefault="007B73B2" w:rsidP="007B73B2">
            <w:pPr>
              <w:rPr>
                <w:bCs/>
                <w:sz w:val="24"/>
                <w:szCs w:val="24"/>
              </w:rPr>
            </w:pPr>
            <w:r w:rsidRPr="007B73B2">
              <w:rPr>
                <w:i/>
                <w:sz w:val="24"/>
                <w:szCs w:val="24"/>
              </w:rPr>
              <w:t>Захист курсової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A4DB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180F" w14:textId="77777777" w:rsidR="007B73B2" w:rsidRPr="007B73B2" w:rsidRDefault="007B73B2" w:rsidP="007B73B2">
            <w:pPr>
              <w:tabs>
                <w:tab w:val="left" w:pos="9467"/>
              </w:tabs>
              <w:autoSpaceDE w:val="0"/>
              <w:jc w:val="center"/>
              <w:rPr>
                <w:sz w:val="24"/>
                <w:szCs w:val="24"/>
              </w:rPr>
            </w:pPr>
            <w:r w:rsidRPr="007B73B2">
              <w:rPr>
                <w:bCs/>
                <w:sz w:val="24"/>
                <w:szCs w:val="24"/>
              </w:rPr>
              <w:t>2</w:t>
            </w:r>
          </w:p>
        </w:tc>
      </w:tr>
    </w:tbl>
    <w:p w14:paraId="0B3D9978" w14:textId="77777777" w:rsidR="007B73B2" w:rsidRPr="007B73B2" w:rsidRDefault="007B73B2" w:rsidP="007B73B2">
      <w:pPr>
        <w:widowControl w:val="0"/>
        <w:ind w:firstLine="567"/>
        <w:jc w:val="both"/>
        <w:rPr>
          <w:i/>
          <w:sz w:val="24"/>
          <w:szCs w:val="24"/>
        </w:rPr>
      </w:pPr>
      <w:r w:rsidRPr="007B73B2">
        <w:rPr>
          <w:sz w:val="24"/>
          <w:szCs w:val="24"/>
        </w:rPr>
        <w:t>При вивченні кредитного модуля індивідуальним завданням є самостійна робота студента, що передбачає виконання КР. При виконанні КР студенти вибирають одну з тем та проводять аналітичне дослідження інтеграційних процесів в різних країнах.</w:t>
      </w:r>
    </w:p>
    <w:p w14:paraId="553536BB" w14:textId="7A04356A" w:rsidR="007B73B2" w:rsidRPr="00233DB4" w:rsidRDefault="007B73B2" w:rsidP="007B73B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B73B2">
        <w:rPr>
          <w:sz w:val="24"/>
          <w:szCs w:val="24"/>
        </w:rPr>
        <w:t xml:space="preserve">При виборі тематики можна скористатись наведеним переліком пріоритетних </w:t>
      </w:r>
      <w:r w:rsidRPr="00233DB4">
        <w:rPr>
          <w:sz w:val="24"/>
          <w:szCs w:val="24"/>
        </w:rPr>
        <w:t>напрямів</w:t>
      </w:r>
      <w:r w:rsidR="00233DB4">
        <w:rPr>
          <w:sz w:val="24"/>
          <w:szCs w:val="24"/>
        </w:rPr>
        <w:t xml:space="preserve"> у додатку</w:t>
      </w:r>
      <w:r w:rsidRPr="00233DB4">
        <w:rPr>
          <w:sz w:val="24"/>
          <w:szCs w:val="24"/>
        </w:rPr>
        <w:t>. В разі необхідності можна об’єднати декілька напрямів з перерахованих, або, навпаки, виділити більш вузький сектор, як об’єкт дослідження, а також запропонувати власний підхід. Головною вимогою при виборі теми є її актуальність для України.</w:t>
      </w:r>
    </w:p>
    <w:p w14:paraId="1E0E22BA" w14:textId="77777777" w:rsidR="00233DB4" w:rsidRPr="00233DB4" w:rsidRDefault="00233DB4" w:rsidP="00233DB4">
      <w:pPr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Курсова робота складається зі вступу, трьох або чотирьох розділів та висновків. План допомагає представити досліджувану проблему, викладену у логічному порядку питань, за якими надалі буде систематизуватися увесь зібраний фактичний матеріал. План завжди має динамічний характер і може уточнюватися в процесі дослідження студентом конкретної теми. Наукове дослідження не може проводитися без плану. Тільки планове дослідження дає змогу глибоко пізнавати </w:t>
      </w:r>
      <w:r w:rsidRPr="00233DB4">
        <w:rPr>
          <w:sz w:val="24"/>
          <w:szCs w:val="24"/>
        </w:rPr>
        <w:lastRenderedPageBreak/>
        <w:t>закономірності досліджуваної проблеми. Дослідження у галузі інтеграційних процесів, політичного та соціально-економічного розвитку країн світу потребує збору фактичного та статистичного матеріалу та його належного самостійного опрацювання. Це стосується насамперед статистики, що публікується у статистичних щорічниках різних країн.</w:t>
      </w:r>
      <w:r w:rsidRPr="00233DB4">
        <w:rPr>
          <w:rFonts w:ascii="PT Sans" w:hAnsi="PT Sans" w:cs="Tahoma"/>
          <w:sz w:val="24"/>
          <w:szCs w:val="24"/>
        </w:rPr>
        <w:t xml:space="preserve"> </w:t>
      </w:r>
      <w:r w:rsidRPr="00233DB4">
        <w:rPr>
          <w:sz w:val="24"/>
          <w:szCs w:val="24"/>
        </w:rPr>
        <w:t>Робиться ґрунтовний аналіз досвіду розвитку інтеграційних процесів, а саме розкриваються такі основні питання:</w:t>
      </w:r>
    </w:p>
    <w:p w14:paraId="1F56ED93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1.</w:t>
      </w:r>
      <w:r w:rsidRPr="00233DB4">
        <w:rPr>
          <w:sz w:val="24"/>
          <w:szCs w:val="24"/>
        </w:rPr>
        <w:tab/>
        <w:t>Стан та історія розвитку інтеграційного процесу.</w:t>
      </w:r>
    </w:p>
    <w:p w14:paraId="64E4D620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2.</w:t>
      </w:r>
      <w:r w:rsidRPr="00233DB4">
        <w:rPr>
          <w:sz w:val="24"/>
          <w:szCs w:val="24"/>
        </w:rPr>
        <w:tab/>
        <w:t>Державна політика щодо європейської інтеграції.</w:t>
      </w:r>
    </w:p>
    <w:p w14:paraId="39F76C88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3.</w:t>
      </w:r>
      <w:r w:rsidRPr="00233DB4">
        <w:rPr>
          <w:sz w:val="24"/>
          <w:szCs w:val="24"/>
        </w:rPr>
        <w:tab/>
        <w:t>Інституції, які відповідають за розвиток регіонального управління в умовах європейської інтеграції</w:t>
      </w:r>
    </w:p>
    <w:p w14:paraId="640B6E41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4.</w:t>
      </w:r>
      <w:r w:rsidRPr="00233DB4">
        <w:rPr>
          <w:sz w:val="24"/>
          <w:szCs w:val="24"/>
        </w:rPr>
        <w:tab/>
        <w:t>Нормативно-правове забезпечення інтеграційного процесу.</w:t>
      </w:r>
    </w:p>
    <w:p w14:paraId="25918D14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5.</w:t>
      </w:r>
      <w:r w:rsidRPr="00233DB4">
        <w:rPr>
          <w:sz w:val="24"/>
          <w:szCs w:val="24"/>
        </w:rPr>
        <w:tab/>
        <w:t xml:space="preserve">Основні складові та напрями розвитку інтеграційного процесу. </w:t>
      </w:r>
    </w:p>
    <w:p w14:paraId="5BDE0D75" w14:textId="77777777" w:rsidR="00233DB4" w:rsidRPr="00233DB4" w:rsidRDefault="00233DB4" w:rsidP="00233DB4">
      <w:pPr>
        <w:ind w:firstLine="284"/>
        <w:jc w:val="both"/>
        <w:rPr>
          <w:sz w:val="24"/>
          <w:szCs w:val="24"/>
        </w:rPr>
      </w:pPr>
      <w:r w:rsidRPr="00233DB4">
        <w:rPr>
          <w:sz w:val="24"/>
          <w:szCs w:val="24"/>
        </w:rPr>
        <w:t>6.</w:t>
      </w:r>
      <w:r w:rsidRPr="00233DB4">
        <w:rPr>
          <w:sz w:val="24"/>
          <w:szCs w:val="24"/>
        </w:rPr>
        <w:tab/>
        <w:t>Висновки і рекомендації щодо можливості застосування досвіду інтеграційних процесів в країнах ЄС для України і т.д.</w:t>
      </w:r>
    </w:p>
    <w:p w14:paraId="4020B3AA" w14:textId="77777777" w:rsidR="00233DB4" w:rsidRDefault="00233DB4" w:rsidP="00233DB4">
      <w:pPr>
        <w:jc w:val="both"/>
        <w:rPr>
          <w:bCs/>
          <w:sz w:val="26"/>
          <w:szCs w:val="26"/>
        </w:rPr>
      </w:pPr>
    </w:p>
    <w:p w14:paraId="3FC90694" w14:textId="77777777" w:rsidR="00233DB4" w:rsidRPr="007B73B2" w:rsidRDefault="00233DB4" w:rsidP="007B73B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3A076904" w14:textId="6FC8CF6B" w:rsidR="008B16FE" w:rsidRPr="00F354DB" w:rsidRDefault="008B16FE" w:rsidP="008869B8">
      <w:pPr>
        <w:pStyle w:val="1"/>
        <w:tabs>
          <w:tab w:val="left" w:pos="993"/>
        </w:tabs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</w:rPr>
      </w:pPr>
      <w:r w:rsidRPr="00F354DB">
        <w:rPr>
          <w:rFonts w:ascii="Times New Roman" w:hAnsi="Times New Roman"/>
          <w:color w:val="auto"/>
        </w:rPr>
        <w:t>Навчальні матеріали та ресурси</w:t>
      </w:r>
    </w:p>
    <w:p w14:paraId="7A39170B" w14:textId="40E50BA9" w:rsidR="00B2504E" w:rsidRPr="00F354DB" w:rsidRDefault="00B2504E" w:rsidP="008869B8">
      <w:pPr>
        <w:pStyle w:val="af1"/>
        <w:tabs>
          <w:tab w:val="left" w:pos="993"/>
        </w:tabs>
        <w:ind w:firstLine="709"/>
        <w:jc w:val="center"/>
        <w:rPr>
          <w:i/>
          <w:iCs/>
          <w:sz w:val="24"/>
          <w:szCs w:val="24"/>
        </w:rPr>
      </w:pPr>
      <w:r w:rsidRPr="00F354DB">
        <w:rPr>
          <w:i/>
          <w:iCs/>
          <w:sz w:val="24"/>
          <w:szCs w:val="24"/>
        </w:rPr>
        <w:t>Базові</w:t>
      </w:r>
    </w:p>
    <w:p w14:paraId="6A940579" w14:textId="77777777" w:rsidR="0035451A" w:rsidRPr="00F354DB" w:rsidRDefault="0035451A" w:rsidP="0035451A">
      <w:pPr>
        <w:numPr>
          <w:ilvl w:val="0"/>
          <w:numId w:val="28"/>
        </w:numPr>
        <w:spacing w:line="240" w:lineRule="auto"/>
        <w:ind w:left="426" w:hanging="426"/>
        <w:jc w:val="both"/>
        <w:rPr>
          <w:noProof/>
          <w:sz w:val="24"/>
          <w:szCs w:val="24"/>
        </w:rPr>
      </w:pPr>
      <w:r w:rsidRPr="00F354DB">
        <w:rPr>
          <w:noProof/>
          <w:sz w:val="24"/>
          <w:szCs w:val="24"/>
        </w:rPr>
        <w:t>Угода про асоціацію між Україною і Європейськими Співтовариствами та їх державами-членами</w:t>
      </w:r>
      <w:r w:rsidRPr="00F354DB">
        <w:rPr>
          <w:noProof/>
          <w:sz w:val="24"/>
          <w:szCs w:val="24"/>
          <w:lang w:val="ru-RU"/>
        </w:rPr>
        <w:t xml:space="preserve"> // </w:t>
      </w:r>
      <w:hyperlink r:id="rId13" w:history="1">
        <w:r w:rsidRPr="00F354DB">
          <w:rPr>
            <w:noProof/>
            <w:sz w:val="24"/>
            <w:szCs w:val="24"/>
          </w:rPr>
          <w:t>http</w:t>
        </w:r>
        <w:r w:rsidRPr="00F354DB">
          <w:rPr>
            <w:noProof/>
            <w:sz w:val="24"/>
            <w:szCs w:val="24"/>
            <w:lang w:val="ru-RU"/>
          </w:rPr>
          <w:t>://</w:t>
        </w:r>
        <w:r w:rsidRPr="00F354DB">
          <w:rPr>
            <w:noProof/>
            <w:sz w:val="24"/>
            <w:szCs w:val="24"/>
          </w:rPr>
          <w:t>www</w:t>
        </w:r>
        <w:r w:rsidRPr="00F354DB">
          <w:rPr>
            <w:noProof/>
            <w:sz w:val="24"/>
            <w:szCs w:val="24"/>
            <w:lang w:val="ru-RU"/>
          </w:rPr>
          <w:t>.</w:t>
        </w:r>
        <w:r w:rsidRPr="00F354DB">
          <w:rPr>
            <w:noProof/>
            <w:sz w:val="24"/>
            <w:szCs w:val="24"/>
          </w:rPr>
          <w:t>rada</w:t>
        </w:r>
        <w:r w:rsidRPr="00F354DB">
          <w:rPr>
            <w:noProof/>
            <w:sz w:val="24"/>
            <w:szCs w:val="24"/>
            <w:lang w:val="ru-RU"/>
          </w:rPr>
          <w:t>.</w:t>
        </w:r>
        <w:r w:rsidRPr="00F354DB">
          <w:rPr>
            <w:noProof/>
            <w:sz w:val="24"/>
            <w:szCs w:val="24"/>
          </w:rPr>
          <w:t>gov</w:t>
        </w:r>
        <w:r w:rsidRPr="00F354DB">
          <w:rPr>
            <w:noProof/>
            <w:sz w:val="24"/>
            <w:szCs w:val="24"/>
            <w:lang w:val="ru-RU"/>
          </w:rPr>
          <w:t>.</w:t>
        </w:r>
        <w:r w:rsidRPr="00F354DB">
          <w:rPr>
            <w:noProof/>
            <w:sz w:val="24"/>
            <w:szCs w:val="24"/>
          </w:rPr>
          <w:t>ua</w:t>
        </w:r>
      </w:hyperlink>
      <w:r w:rsidRPr="00F354DB">
        <w:rPr>
          <w:noProof/>
          <w:sz w:val="24"/>
          <w:szCs w:val="24"/>
          <w:lang w:val="ru-RU"/>
        </w:rPr>
        <w:t>.</w:t>
      </w:r>
    </w:p>
    <w:p w14:paraId="4BA2EEAA" w14:textId="77777777" w:rsidR="0035451A" w:rsidRPr="00F354DB" w:rsidRDefault="0035451A" w:rsidP="0035451A">
      <w:pPr>
        <w:numPr>
          <w:ilvl w:val="0"/>
          <w:numId w:val="28"/>
        </w:numPr>
        <w:spacing w:line="240" w:lineRule="auto"/>
        <w:jc w:val="both"/>
        <w:rPr>
          <w:noProof/>
          <w:sz w:val="24"/>
          <w:szCs w:val="24"/>
        </w:rPr>
      </w:pPr>
      <w:r w:rsidRPr="00F354DB">
        <w:rPr>
          <w:noProof/>
          <w:sz w:val="24"/>
          <w:szCs w:val="24"/>
        </w:rPr>
        <w:t>Економічна інтеграція України в Європейський Союз: Наук. рек. / Р. Айзен (уклад.). — Т. : Економічна думка, 2003. — 185с.</w:t>
      </w:r>
    </w:p>
    <w:p w14:paraId="09D1970E" w14:textId="77777777" w:rsidR="00B2504E" w:rsidRPr="00F354DB" w:rsidRDefault="00B2504E" w:rsidP="008869B8">
      <w:pPr>
        <w:widowControl w:val="0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</w:p>
    <w:p w14:paraId="489CA6E3" w14:textId="644C0ED4" w:rsidR="00B2504E" w:rsidRPr="00F354DB" w:rsidRDefault="00B2504E" w:rsidP="008869B8">
      <w:pPr>
        <w:widowControl w:val="0"/>
        <w:tabs>
          <w:tab w:val="left" w:pos="993"/>
        </w:tabs>
        <w:spacing w:line="240" w:lineRule="auto"/>
        <w:ind w:firstLine="709"/>
        <w:jc w:val="center"/>
        <w:rPr>
          <w:sz w:val="24"/>
          <w:szCs w:val="24"/>
        </w:rPr>
      </w:pPr>
      <w:r w:rsidRPr="00F354DB">
        <w:rPr>
          <w:i/>
          <w:sz w:val="24"/>
          <w:szCs w:val="24"/>
        </w:rPr>
        <w:t>Додаткові</w:t>
      </w:r>
      <w:r w:rsidRPr="00F354DB">
        <w:rPr>
          <w:sz w:val="24"/>
          <w:szCs w:val="24"/>
        </w:rPr>
        <w:t>:</w:t>
      </w:r>
    </w:p>
    <w:p w14:paraId="3CBB3226" w14:textId="77777777" w:rsidR="00B2504E" w:rsidRPr="00F354DB" w:rsidRDefault="00B2504E" w:rsidP="008869B8">
      <w:pPr>
        <w:widowControl w:val="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</w:p>
    <w:p w14:paraId="652B3F62" w14:textId="77777777" w:rsidR="0035451A" w:rsidRPr="00F354DB" w:rsidRDefault="0035451A" w:rsidP="0035451A">
      <w:pPr>
        <w:pStyle w:val="a0"/>
        <w:numPr>
          <w:ilvl w:val="0"/>
          <w:numId w:val="29"/>
        </w:numPr>
        <w:tabs>
          <w:tab w:val="left" w:pos="436"/>
        </w:tabs>
        <w:spacing w:line="240" w:lineRule="auto"/>
        <w:jc w:val="both"/>
        <w:rPr>
          <w:noProof/>
          <w:sz w:val="24"/>
          <w:szCs w:val="24"/>
        </w:rPr>
      </w:pPr>
      <w:r w:rsidRPr="00F354DB">
        <w:rPr>
          <w:sz w:val="24"/>
          <w:szCs w:val="24"/>
        </w:rPr>
        <w:t>Буряк П.Ю., Гупало О.Г. Європейська інтеграція і глобальні проблеми сучасності: Навчальний посібник. – 2-ге видання, доповнене. – К.: «Хай-Тек Прес», 2008. – 352 с.</w:t>
      </w:r>
    </w:p>
    <w:p w14:paraId="472B6D57" w14:textId="77777777" w:rsidR="0035451A" w:rsidRPr="00F354DB" w:rsidRDefault="0035451A" w:rsidP="0035451A">
      <w:pPr>
        <w:pStyle w:val="a0"/>
        <w:numPr>
          <w:ilvl w:val="0"/>
          <w:numId w:val="29"/>
        </w:numPr>
        <w:tabs>
          <w:tab w:val="left" w:pos="436"/>
        </w:tabs>
        <w:spacing w:line="240" w:lineRule="auto"/>
        <w:jc w:val="both"/>
        <w:rPr>
          <w:noProof/>
          <w:sz w:val="24"/>
          <w:szCs w:val="24"/>
        </w:rPr>
      </w:pPr>
      <w:r w:rsidRPr="00F354DB">
        <w:rPr>
          <w:sz w:val="24"/>
          <w:szCs w:val="24"/>
        </w:rPr>
        <w:t xml:space="preserve">Впроваджуючи Угоду про асоціацію Україна-ЄС: перші уроки, наслідки, практики використання за ред. Сушка О.В., м. Київ., 2016, 40 c. </w:t>
      </w:r>
    </w:p>
    <w:p w14:paraId="680E7B2B" w14:textId="77777777" w:rsidR="0035451A" w:rsidRPr="00F354DB" w:rsidRDefault="0035451A" w:rsidP="0035451A">
      <w:pPr>
        <w:pStyle w:val="a0"/>
        <w:numPr>
          <w:ilvl w:val="0"/>
          <w:numId w:val="29"/>
        </w:numPr>
        <w:tabs>
          <w:tab w:val="left" w:pos="436"/>
        </w:tabs>
        <w:spacing w:line="240" w:lineRule="auto"/>
        <w:jc w:val="both"/>
        <w:rPr>
          <w:noProof/>
          <w:sz w:val="24"/>
          <w:szCs w:val="24"/>
        </w:rPr>
      </w:pPr>
      <w:r w:rsidRPr="00F354DB">
        <w:rPr>
          <w:sz w:val="24"/>
          <w:szCs w:val="24"/>
        </w:rPr>
        <w:t xml:space="preserve">Глобальна економіка. Курс лекцій: навч. посібн. / За заг.ред. Гупала О.Г., Стасишина А.В. – 2-ге вид., доп. – Львів: СПОЛОМ, 2017. – 316с. </w:t>
      </w:r>
    </w:p>
    <w:p w14:paraId="0E98154A" w14:textId="77777777" w:rsidR="0035451A" w:rsidRPr="00F354DB" w:rsidRDefault="0035451A" w:rsidP="0035451A">
      <w:pPr>
        <w:pStyle w:val="a0"/>
        <w:numPr>
          <w:ilvl w:val="0"/>
          <w:numId w:val="29"/>
        </w:numPr>
        <w:tabs>
          <w:tab w:val="left" w:pos="436"/>
        </w:tabs>
        <w:spacing w:line="240" w:lineRule="auto"/>
        <w:jc w:val="both"/>
        <w:rPr>
          <w:noProof/>
          <w:sz w:val="24"/>
          <w:szCs w:val="24"/>
        </w:rPr>
      </w:pPr>
      <w:r w:rsidRPr="00F354DB">
        <w:rPr>
          <w:sz w:val="24"/>
          <w:szCs w:val="24"/>
        </w:rPr>
        <w:t xml:space="preserve">Європейська інтеграційна політика [Текст] : навч. посіб. / А. М. Поручник, В. І. Чужиков, Д. О. Ільницький, О. А. Федірко ; за заг. ред. д-ра екон. наук, проф. В. І. Чужикова ; ДВНЗ «Київ. нац. екон. ун-т ім. В. Гетьмана». - К. : КНЕУ, 2010. - 452 с. - Режим доступу: http://posibniki.com.ua/catalog-evropeyska-integraciyna-politika---chuzhikova-v-i </w:t>
      </w:r>
      <w:hyperlink r:id="rId14" w:history="1">
        <w:r w:rsidRPr="00F354DB">
          <w:rPr>
            <w:noProof/>
            <w:sz w:val="24"/>
            <w:szCs w:val="24"/>
          </w:rPr>
          <w:t>http://www.europa.eu.int</w:t>
        </w:r>
      </w:hyperlink>
      <w:r w:rsidRPr="00F354DB">
        <w:rPr>
          <w:noProof/>
          <w:sz w:val="24"/>
          <w:szCs w:val="24"/>
        </w:rPr>
        <w:t xml:space="preserve"> — сайт Європейського Союзу.</w:t>
      </w:r>
    </w:p>
    <w:p w14:paraId="7B75643D" w14:textId="77777777" w:rsidR="0035451A" w:rsidRPr="00F354DB" w:rsidRDefault="0035451A" w:rsidP="0035451A">
      <w:pPr>
        <w:pStyle w:val="a0"/>
        <w:numPr>
          <w:ilvl w:val="0"/>
          <w:numId w:val="29"/>
        </w:numPr>
        <w:spacing w:line="240" w:lineRule="auto"/>
        <w:jc w:val="both"/>
        <w:rPr>
          <w:noProof/>
          <w:sz w:val="24"/>
          <w:szCs w:val="24"/>
        </w:rPr>
      </w:pPr>
      <w:r w:rsidRPr="00F354DB">
        <w:rPr>
          <w:noProof/>
          <w:sz w:val="24"/>
          <w:szCs w:val="24"/>
        </w:rPr>
        <w:t>Савельєв Є.В. Європейська інтеграція і маркетинг. Наукові нариси. – Тернопіль: Карт-бланш, 2003. – 482 с.</w:t>
      </w:r>
    </w:p>
    <w:p w14:paraId="61936661" w14:textId="77777777" w:rsidR="0035451A" w:rsidRPr="00F354DB" w:rsidRDefault="0035451A" w:rsidP="0035451A">
      <w:pPr>
        <w:pStyle w:val="a0"/>
        <w:numPr>
          <w:ilvl w:val="0"/>
          <w:numId w:val="29"/>
        </w:numPr>
        <w:spacing w:line="240" w:lineRule="auto"/>
        <w:jc w:val="both"/>
        <w:rPr>
          <w:noProof/>
          <w:sz w:val="24"/>
          <w:szCs w:val="24"/>
        </w:rPr>
      </w:pPr>
      <w:r w:rsidRPr="00F354DB">
        <w:rPr>
          <w:noProof/>
          <w:sz w:val="24"/>
          <w:szCs w:val="24"/>
        </w:rPr>
        <w:t>Міжнародні інтеграційні процеси сучасності: Монографія / А.С. Філіпенко (кер. авт. кол.), В.С. Будкін, М.А. Дудченко та ін. – К.: Знання України, 2004. – 304 с.</w:t>
      </w:r>
    </w:p>
    <w:p w14:paraId="20E12ED3" w14:textId="77777777" w:rsidR="00643CCA" w:rsidRPr="00F354DB" w:rsidRDefault="00643CCA" w:rsidP="008869B8">
      <w:pPr>
        <w:pStyle w:val="a0"/>
        <w:tabs>
          <w:tab w:val="left" w:pos="360"/>
          <w:tab w:val="left" w:pos="720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</w:p>
    <w:p w14:paraId="1118F99E" w14:textId="77777777" w:rsidR="00B2504E" w:rsidRPr="00F354DB" w:rsidRDefault="00B2504E" w:rsidP="008869B8">
      <w:pPr>
        <w:pStyle w:val="af1"/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F354DB">
        <w:rPr>
          <w:b/>
          <w:sz w:val="24"/>
          <w:szCs w:val="24"/>
        </w:rPr>
        <w:t>Інформаційні ресурси</w:t>
      </w:r>
    </w:p>
    <w:p w14:paraId="062CD9A0" w14:textId="77777777" w:rsidR="00B2504E" w:rsidRPr="00F354DB" w:rsidRDefault="00B2504E" w:rsidP="008869B8">
      <w:pPr>
        <w:pStyle w:val="af1"/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36E6EDDF" w14:textId="77777777" w:rsidR="003332B0" w:rsidRPr="003332B0" w:rsidRDefault="00524E79" w:rsidP="003332B0">
      <w:pPr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15" w:history="1">
        <w:r w:rsidR="003332B0" w:rsidRPr="003332B0">
          <w:rPr>
            <w:rStyle w:val="a5"/>
            <w:sz w:val="24"/>
            <w:szCs w:val="24"/>
          </w:rPr>
          <w:t>http://www.europa.eu</w:t>
        </w:r>
      </w:hyperlink>
      <w:r w:rsidR="003332B0" w:rsidRPr="003332B0">
        <w:rPr>
          <w:sz w:val="24"/>
          <w:szCs w:val="24"/>
        </w:rPr>
        <w:t xml:space="preserve"> — сайт Європейського Союзу.</w:t>
      </w:r>
    </w:p>
    <w:p w14:paraId="54404217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16" w:history="1">
        <w:r w:rsidR="003332B0" w:rsidRPr="003332B0">
          <w:rPr>
            <w:rStyle w:val="a5"/>
            <w:sz w:val="24"/>
            <w:szCs w:val="24"/>
          </w:rPr>
          <w:t>http://www.rada.gov.ua</w:t>
        </w:r>
      </w:hyperlink>
      <w:r w:rsidR="003332B0" w:rsidRPr="003332B0">
        <w:rPr>
          <w:sz w:val="24"/>
          <w:szCs w:val="24"/>
        </w:rPr>
        <w:t xml:space="preserve"> — сервер Верховної Ради: база даних по законодавству України.</w:t>
      </w:r>
    </w:p>
    <w:p w14:paraId="403445D2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17" w:history="1">
        <w:r w:rsidR="003332B0" w:rsidRPr="003332B0">
          <w:rPr>
            <w:rStyle w:val="a5"/>
            <w:sz w:val="24"/>
            <w:szCs w:val="24"/>
          </w:rPr>
          <w:t>http://www.kmu.gov.ua</w:t>
        </w:r>
      </w:hyperlink>
      <w:r w:rsidR="003332B0" w:rsidRPr="003332B0">
        <w:rPr>
          <w:sz w:val="24"/>
          <w:szCs w:val="24"/>
        </w:rPr>
        <w:t xml:space="preserve"> — сервер Кабінету міністрів України.</w:t>
      </w:r>
    </w:p>
    <w:p w14:paraId="30675E7C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18" w:history="1">
        <w:r w:rsidR="003332B0" w:rsidRPr="003332B0">
          <w:rPr>
            <w:rStyle w:val="a5"/>
            <w:sz w:val="24"/>
            <w:szCs w:val="24"/>
          </w:rPr>
          <w:t>http://me.kmu.gov.ua</w:t>
        </w:r>
      </w:hyperlink>
      <w:r w:rsidR="003332B0" w:rsidRPr="003332B0">
        <w:rPr>
          <w:sz w:val="24"/>
          <w:szCs w:val="24"/>
        </w:rPr>
        <w:t xml:space="preserve"> — Міністерство економіки України.</w:t>
      </w:r>
    </w:p>
    <w:p w14:paraId="08A082AF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19" w:history="1">
        <w:r w:rsidR="003332B0" w:rsidRPr="003332B0">
          <w:rPr>
            <w:rStyle w:val="a5"/>
            <w:sz w:val="24"/>
            <w:szCs w:val="24"/>
          </w:rPr>
          <w:t>http://www.minfin.gov.ua</w:t>
        </w:r>
      </w:hyperlink>
      <w:r w:rsidR="003332B0" w:rsidRPr="003332B0">
        <w:rPr>
          <w:sz w:val="24"/>
          <w:szCs w:val="24"/>
        </w:rPr>
        <w:t xml:space="preserve"> — портал Міністерства фінансів України.</w:t>
      </w:r>
    </w:p>
    <w:p w14:paraId="10C21991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0" w:history="1">
        <w:r w:rsidR="003332B0" w:rsidRPr="003332B0">
          <w:rPr>
            <w:rStyle w:val="a5"/>
            <w:sz w:val="24"/>
            <w:szCs w:val="24"/>
          </w:rPr>
          <w:t>http://www.nbuv.gov.ua</w:t>
        </w:r>
      </w:hyperlink>
      <w:r w:rsidR="003332B0" w:rsidRPr="003332B0">
        <w:rPr>
          <w:sz w:val="24"/>
          <w:szCs w:val="24"/>
        </w:rPr>
        <w:t xml:space="preserve"> — національна бібліотека ім. Вернадського.</w:t>
      </w:r>
    </w:p>
    <w:p w14:paraId="015B86AD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1" w:history="1">
        <w:r w:rsidR="003332B0" w:rsidRPr="003332B0">
          <w:rPr>
            <w:rStyle w:val="a5"/>
            <w:sz w:val="24"/>
            <w:szCs w:val="24"/>
          </w:rPr>
          <w:t>http://www.world-bank.org</w:t>
        </w:r>
      </w:hyperlink>
      <w:r w:rsidR="003332B0" w:rsidRPr="003332B0">
        <w:rPr>
          <w:sz w:val="24"/>
          <w:szCs w:val="24"/>
        </w:rPr>
        <w:t xml:space="preserve"> — Світовий банк.</w:t>
      </w:r>
    </w:p>
    <w:p w14:paraId="2F4A5AC3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2" w:history="1">
        <w:r w:rsidR="003332B0" w:rsidRPr="003332B0">
          <w:rPr>
            <w:rStyle w:val="a5"/>
            <w:sz w:val="24"/>
            <w:szCs w:val="24"/>
          </w:rPr>
          <w:t>http://www.ita.doc.gov</w:t>
        </w:r>
      </w:hyperlink>
      <w:r w:rsidR="003332B0" w:rsidRPr="003332B0">
        <w:rPr>
          <w:sz w:val="24"/>
          <w:szCs w:val="24"/>
        </w:rPr>
        <w:t xml:space="preserve"> — Департамент торгівлі США.</w:t>
      </w:r>
    </w:p>
    <w:p w14:paraId="5288C25B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3" w:history="1">
        <w:r w:rsidR="003332B0" w:rsidRPr="003332B0">
          <w:rPr>
            <w:rStyle w:val="a5"/>
            <w:sz w:val="24"/>
            <w:szCs w:val="24"/>
          </w:rPr>
          <w:t>http://www.ilo.org</w:t>
        </w:r>
      </w:hyperlink>
      <w:r w:rsidR="003332B0" w:rsidRPr="003332B0">
        <w:rPr>
          <w:sz w:val="24"/>
          <w:szCs w:val="24"/>
        </w:rPr>
        <w:t xml:space="preserve"> — Міжнародна організація праці.</w:t>
      </w:r>
    </w:p>
    <w:p w14:paraId="63950864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4" w:history="1">
        <w:r w:rsidR="003332B0" w:rsidRPr="003332B0">
          <w:rPr>
            <w:rStyle w:val="a5"/>
            <w:sz w:val="24"/>
            <w:szCs w:val="24"/>
          </w:rPr>
          <w:t>http://www.wto.org</w:t>
        </w:r>
      </w:hyperlink>
      <w:r w:rsidR="003332B0" w:rsidRPr="003332B0">
        <w:rPr>
          <w:sz w:val="24"/>
          <w:szCs w:val="24"/>
        </w:rPr>
        <w:t xml:space="preserve"> — Світова організація торгівлі.</w:t>
      </w:r>
    </w:p>
    <w:p w14:paraId="676FD910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5" w:history="1">
        <w:r w:rsidR="003332B0" w:rsidRPr="003332B0">
          <w:rPr>
            <w:rStyle w:val="a5"/>
            <w:sz w:val="24"/>
            <w:szCs w:val="24"/>
          </w:rPr>
          <w:t>http://www.unicc.org/unctad</w:t>
        </w:r>
      </w:hyperlink>
      <w:r w:rsidR="003332B0" w:rsidRPr="003332B0">
        <w:rPr>
          <w:sz w:val="24"/>
          <w:szCs w:val="24"/>
        </w:rPr>
        <w:t xml:space="preserve"> — Конференція ООН з торгівлі та розвитку.</w:t>
      </w:r>
    </w:p>
    <w:p w14:paraId="48E73ADD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6" w:history="1">
        <w:r w:rsidR="003332B0" w:rsidRPr="003332B0">
          <w:rPr>
            <w:rStyle w:val="a5"/>
            <w:sz w:val="24"/>
            <w:szCs w:val="24"/>
          </w:rPr>
          <w:t>http://www.iccwbo.org</w:t>
        </w:r>
      </w:hyperlink>
      <w:r w:rsidR="003332B0" w:rsidRPr="003332B0">
        <w:rPr>
          <w:sz w:val="24"/>
          <w:szCs w:val="24"/>
        </w:rPr>
        <w:t xml:space="preserve"> — Міжнародна торгова палата.</w:t>
      </w:r>
    </w:p>
    <w:p w14:paraId="69CA1A62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7" w:history="1">
        <w:r w:rsidR="003332B0" w:rsidRPr="003332B0">
          <w:rPr>
            <w:rStyle w:val="a5"/>
            <w:sz w:val="24"/>
            <w:szCs w:val="24"/>
          </w:rPr>
          <w:t>http://www.oecd.org</w:t>
        </w:r>
      </w:hyperlink>
      <w:r w:rsidR="003332B0" w:rsidRPr="003332B0">
        <w:rPr>
          <w:sz w:val="24"/>
          <w:szCs w:val="24"/>
        </w:rPr>
        <w:t xml:space="preserve"> — Організація економічного співробітництва та розвитку.</w:t>
      </w:r>
    </w:p>
    <w:p w14:paraId="0963033D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8" w:history="1">
        <w:r w:rsidR="003332B0" w:rsidRPr="003332B0">
          <w:rPr>
            <w:rStyle w:val="a5"/>
            <w:sz w:val="24"/>
            <w:szCs w:val="24"/>
          </w:rPr>
          <w:t>http://www.imf.org</w:t>
        </w:r>
      </w:hyperlink>
      <w:r w:rsidR="003332B0" w:rsidRPr="003332B0">
        <w:rPr>
          <w:sz w:val="24"/>
          <w:szCs w:val="24"/>
        </w:rPr>
        <w:t xml:space="preserve"> — Міжнародний валютний фонд.</w:t>
      </w:r>
    </w:p>
    <w:p w14:paraId="367FE246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29" w:history="1">
        <w:r w:rsidR="003332B0" w:rsidRPr="003332B0">
          <w:rPr>
            <w:rStyle w:val="a5"/>
            <w:sz w:val="24"/>
            <w:szCs w:val="24"/>
          </w:rPr>
          <w:t>http://www.iie.com</w:t>
        </w:r>
      </w:hyperlink>
      <w:r w:rsidR="003332B0" w:rsidRPr="003332B0">
        <w:rPr>
          <w:sz w:val="24"/>
          <w:szCs w:val="24"/>
        </w:rPr>
        <w:t xml:space="preserve"> — Інститут міжнародної економіки. Вашингтон.</w:t>
      </w:r>
    </w:p>
    <w:p w14:paraId="63186A39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30" w:history="1">
        <w:r w:rsidR="003332B0" w:rsidRPr="003332B0">
          <w:rPr>
            <w:rStyle w:val="a5"/>
            <w:sz w:val="24"/>
            <w:szCs w:val="24"/>
          </w:rPr>
          <w:t>http://www.european-patent-office.org</w:t>
        </w:r>
      </w:hyperlink>
      <w:r w:rsidR="003332B0" w:rsidRPr="003332B0">
        <w:rPr>
          <w:sz w:val="24"/>
          <w:szCs w:val="24"/>
        </w:rPr>
        <w:t xml:space="preserve"> — European Patent Office.</w:t>
      </w:r>
    </w:p>
    <w:p w14:paraId="3AB001E5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31" w:history="1">
        <w:r w:rsidR="003332B0" w:rsidRPr="003332B0">
          <w:rPr>
            <w:rStyle w:val="a5"/>
            <w:sz w:val="24"/>
            <w:szCs w:val="24"/>
          </w:rPr>
          <w:t>http://www.aseansec.org</w:t>
        </w:r>
      </w:hyperlink>
      <w:r w:rsidR="003332B0" w:rsidRPr="003332B0">
        <w:rPr>
          <w:sz w:val="24"/>
          <w:szCs w:val="24"/>
        </w:rPr>
        <w:t xml:space="preserve"> — ASEAN.</w:t>
      </w:r>
    </w:p>
    <w:p w14:paraId="0D458B55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32" w:history="1">
        <w:r w:rsidR="003332B0" w:rsidRPr="003332B0">
          <w:rPr>
            <w:rStyle w:val="a5"/>
            <w:sz w:val="24"/>
            <w:szCs w:val="24"/>
          </w:rPr>
          <w:t>http://www.nafta.org</w:t>
        </w:r>
      </w:hyperlink>
      <w:r w:rsidR="003332B0" w:rsidRPr="003332B0">
        <w:rPr>
          <w:sz w:val="24"/>
          <w:szCs w:val="24"/>
        </w:rPr>
        <w:t xml:space="preserve"> — NAFTA.</w:t>
      </w:r>
    </w:p>
    <w:p w14:paraId="3FFEE6E3" w14:textId="77777777" w:rsidR="003332B0" w:rsidRPr="003332B0" w:rsidRDefault="00524E79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hyperlink r:id="rId33" w:history="1">
        <w:r w:rsidR="003332B0" w:rsidRPr="003332B0">
          <w:rPr>
            <w:rStyle w:val="a5"/>
            <w:sz w:val="24"/>
            <w:szCs w:val="24"/>
          </w:rPr>
          <w:t>http://europa.eu.int/en/comm/eurostat/serven/par6/6som.html</w:t>
        </w:r>
      </w:hyperlink>
      <w:r w:rsidR="003332B0" w:rsidRPr="003332B0">
        <w:rPr>
          <w:sz w:val="24"/>
          <w:szCs w:val="24"/>
        </w:rPr>
        <w:t xml:space="preserve"> — Statistical Office of The European Communities (EUROSTAT).</w:t>
      </w:r>
    </w:p>
    <w:p w14:paraId="30EC7658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Представництво України при Європейському Союзі та Європейському Співтоваристві з атомної енергії: сайт. Режим доступу: https://ukraine-eu.mfa.gov.ua/ua/ukraine-eu/relations 32. Програма ЄС «Креативна Європа» (2014-2020): сайт. Режим доступу: https://creativeeurope.in.ua/ </w:t>
      </w:r>
    </w:p>
    <w:p w14:paraId="7A84ECAD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Східне партнерство - Європейський Союз: сайт. Режим доступу: http://eeas.europa.eu/eastern/index_en.htm. </w:t>
      </w:r>
    </w:p>
    <w:p w14:paraId="58789977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Торгівля – Європейська Комісія: сайт. Режим доступу: http://ec.europa.eu/trade/ 35. Транспортна політика ЄС – Європейський Союз: сайт. Режим доступу: https://europa.eu/european-union/topics/transport_en </w:t>
      </w:r>
    </w:p>
    <w:p w14:paraId="25A4445F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Урядовий офіс координації європейської та євроатлантичної інтеграції – Євроінтеграційний портал: сайт. Режим доступу: https://eu-ua.org/uryadovyy-ofiskoordynaciyi-yevropeyskoyi-ta-yevroatlantychnoyi-integraciyi </w:t>
      </w:r>
    </w:p>
    <w:p w14:paraId="29DFB7B2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Урядовий портал: сайт. Режим доступу: www.kmu.gov.ua/kmu/control/en/publish/article7art_ id=248402403&amp;cat_id= 248402399 </w:t>
      </w:r>
    </w:p>
    <w:p w14:paraId="0696F093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 Competition Policy Presentation Part 1. - YouTube: сайт. Режим доступу: https://www.youtube.com/watch?v=8elyprRbNUg </w:t>
      </w:r>
    </w:p>
    <w:p w14:paraId="6797E0C3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 EU Competition Policy Presentation Part 2. - YouTube: сайт. Режим доступу: https://www.youtube.com/watch?v=j_Zy8HqV2bk </w:t>
      </w:r>
    </w:p>
    <w:p w14:paraId="48967CDE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 Competition Policy Presentation Part 3. - YouTube: сайт. Режим доступу: https://www.youtube.com/watch?v=hZUKrIeLRjs </w:t>
      </w:r>
    </w:p>
    <w:p w14:paraId="50413D4B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EU-Africa Declaration on migration and mobility / Fourth EU-Africa Summit. 2-3 April 2014, Brussels. - [Electronic recourse]. Access mode: http://www.consilium.europa.eu/en/press/pressreleases/2014/04/pdf/fourth-eu-africa-summit-eu-africa-declaration-on-migration-and-mobility </w:t>
      </w:r>
    </w:p>
    <w:p w14:paraId="71D94E9E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EUR-Lex Access to European Union law. [Electronic recourse]. Access mode: http://eurlex.europa.eu/legal-content/EN/TXT/?uri=celex: 52006XC0901%2801%29 </w:t>
      </w:r>
    </w:p>
    <w:p w14:paraId="38AA0493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 Social policy - the market's human face?. - YouTube: сайт. Режим доступу: https://www.youtube.com/watch?v=bHI30CB96pg </w:t>
      </w:r>
    </w:p>
    <w:p w14:paraId="6D7E5AEF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European Commission Financial Programming and Budget - [Electronic recourse]. Access mode: http://ec.europa. eu/budget/index_en.cfm </w:t>
      </w:r>
    </w:p>
    <w:p w14:paraId="2373735E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 European Commission The Multiannual Financial Framework 2014-2020 - Frequently Asked Questions. - [Electronic recourse]. Access mode: http://ec.europa.eu/budget/mff/index_en.cfm (дата доступу: 30.10.2014); </w:t>
      </w:r>
    </w:p>
    <w:p w14:paraId="1F1DB065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 xml:space="preserve"> Financial Regulation and implementing rules applicable to the general budget of the European Communities / Synoptic presentation And selection of legal texts relevant to establishing and implementing the budgets. - European Commission, Luxemburg, Publications Office of the European Union. - 2010. - P. 405. - [Electronic recourse]. Access mode: http:// ec.europa.eu/budget/library/- biblio/.../regulations/syn_pub_rf_modex_en.pdf (дата доступу: 10.10.2014). </w:t>
      </w:r>
    </w:p>
    <w:p w14:paraId="5104E4F6" w14:textId="77777777" w:rsidR="003332B0" w:rsidRPr="003332B0" w:rsidRDefault="003332B0" w:rsidP="003332B0">
      <w:pPr>
        <w:widowControl w:val="0"/>
        <w:numPr>
          <w:ilvl w:val="0"/>
          <w:numId w:val="31"/>
        </w:numPr>
        <w:suppressAutoHyphens/>
        <w:spacing w:line="240" w:lineRule="auto"/>
        <w:ind w:left="426"/>
        <w:jc w:val="both"/>
        <w:rPr>
          <w:sz w:val="24"/>
          <w:szCs w:val="24"/>
        </w:rPr>
      </w:pPr>
      <w:r w:rsidRPr="003332B0">
        <w:rPr>
          <w:sz w:val="24"/>
          <w:szCs w:val="24"/>
        </w:rPr>
        <w:t>Indices of Primary Commodity Prices 2006-2016 - International Monetary Fund. [Electronic recourse]. Access mode: https://www.imf.org/external/np/res/commod/Table1a.pdf 48. Stability and Growth Pact / European Commission. - [Electronic resource]. Access mode: http://ec.europa.eu/ economy_finance/economic.../sgp/index_en.</w:t>
      </w:r>
    </w:p>
    <w:p w14:paraId="39401923" w14:textId="43D09C24" w:rsidR="00AA6B23" w:rsidRPr="00F354DB" w:rsidRDefault="003332B0" w:rsidP="003332B0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>
        <w:br w:type="page"/>
      </w:r>
      <w:r w:rsidR="00AA6B23" w:rsidRPr="00F354DB">
        <w:rPr>
          <w:rFonts w:ascii="Times New Roman" w:hAnsi="Times New Roman"/>
          <w:color w:val="auto"/>
        </w:rPr>
        <w:lastRenderedPageBreak/>
        <w:t>Навчальний контент</w:t>
      </w:r>
    </w:p>
    <w:p w14:paraId="0BA8E5D6" w14:textId="45F762A8" w:rsidR="000E6FED" w:rsidRPr="00F354DB" w:rsidRDefault="00791855" w:rsidP="008869B8">
      <w:pPr>
        <w:pStyle w:val="1"/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F354DB">
        <w:rPr>
          <w:rFonts w:ascii="Times New Roman" w:hAnsi="Times New Roman"/>
          <w:color w:val="auto"/>
        </w:rPr>
        <w:t>Методика</w:t>
      </w:r>
      <w:r w:rsidR="00F51B26" w:rsidRPr="00F354DB">
        <w:rPr>
          <w:rFonts w:ascii="Times New Roman" w:hAnsi="Times New Roman"/>
          <w:color w:val="auto"/>
        </w:rPr>
        <w:t xml:space="preserve"> опанування </w:t>
      </w:r>
      <w:r w:rsidR="00AA6B23" w:rsidRPr="00F354DB">
        <w:rPr>
          <w:rFonts w:ascii="Times New Roman" w:hAnsi="Times New Roman"/>
          <w:color w:val="auto"/>
        </w:rPr>
        <w:t xml:space="preserve">навчальної </w:t>
      </w:r>
      <w:r w:rsidR="004A6336" w:rsidRPr="00F354DB">
        <w:rPr>
          <w:rFonts w:ascii="Times New Roman" w:hAnsi="Times New Roman"/>
          <w:color w:val="auto"/>
        </w:rPr>
        <w:t>дисципліни</w:t>
      </w:r>
      <w:r w:rsidR="004D1575" w:rsidRPr="00F354DB">
        <w:rPr>
          <w:rFonts w:ascii="Times New Roman" w:hAnsi="Times New Roman"/>
          <w:color w:val="auto"/>
        </w:rPr>
        <w:t xml:space="preserve"> </w:t>
      </w:r>
      <w:r w:rsidR="00087AFC" w:rsidRPr="00F354DB">
        <w:rPr>
          <w:rFonts w:ascii="Times New Roman" w:hAnsi="Times New Roman"/>
          <w:color w:val="auto"/>
        </w:rPr>
        <w:t>(освітнього компонента)</w:t>
      </w:r>
      <w:r w:rsidR="000E6FED" w:rsidRPr="00F354DB">
        <w:rPr>
          <w:rFonts w:ascii="Times New Roman" w:hAnsi="Times New Roman"/>
          <w:color w:val="auto"/>
        </w:rPr>
        <w:t xml:space="preserve"> Самостійна робота студента/аспіранта</w:t>
      </w:r>
    </w:p>
    <w:p w14:paraId="2BE00834" w14:textId="32847563" w:rsidR="00220C11" w:rsidRDefault="00220C11" w:rsidP="00220C11">
      <w:pPr>
        <w:spacing w:line="240" w:lineRule="auto"/>
        <w:ind w:firstLine="284"/>
        <w:jc w:val="both"/>
        <w:rPr>
          <w:sz w:val="24"/>
          <w:szCs w:val="24"/>
        </w:rPr>
      </w:pPr>
      <w:r w:rsidRPr="00F354DB">
        <w:rPr>
          <w:sz w:val="24"/>
          <w:szCs w:val="24"/>
        </w:rPr>
        <w:t xml:space="preserve">Методика вивчення дисципліни ґрунтується на поєднанні </w:t>
      </w:r>
      <w:r w:rsidR="007C5CF5">
        <w:rPr>
          <w:sz w:val="24"/>
          <w:szCs w:val="24"/>
        </w:rPr>
        <w:t xml:space="preserve">сбору , аналізу та </w:t>
      </w:r>
      <w:r w:rsidRPr="00F354DB">
        <w:rPr>
          <w:sz w:val="24"/>
          <w:szCs w:val="24"/>
        </w:rPr>
        <w:t xml:space="preserve">послідовного </w:t>
      </w:r>
      <w:r w:rsidR="007C5CF5">
        <w:rPr>
          <w:sz w:val="24"/>
          <w:szCs w:val="24"/>
        </w:rPr>
        <w:t>викладу</w:t>
      </w:r>
      <w:r w:rsidRPr="00F354DB">
        <w:rPr>
          <w:sz w:val="24"/>
          <w:szCs w:val="24"/>
        </w:rPr>
        <w:t xml:space="preserve"> матеріалу</w:t>
      </w:r>
      <w:r w:rsidR="00922254">
        <w:rPr>
          <w:sz w:val="24"/>
          <w:szCs w:val="24"/>
        </w:rPr>
        <w:t xml:space="preserve"> в курсовій роботі</w:t>
      </w:r>
      <w:r w:rsidRPr="00F354DB">
        <w:rPr>
          <w:sz w:val="24"/>
          <w:szCs w:val="24"/>
        </w:rPr>
        <w:t xml:space="preserve">, </w:t>
      </w:r>
    </w:p>
    <w:p w14:paraId="75BB2B6D" w14:textId="77777777" w:rsidR="00233DB4" w:rsidRPr="00233DB4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Середній обсяг роботи: 30-35 друкованих пронумерованих сторінок (перша сторінка – титульний аркуш). Текст оформлюють на аркушах формату А4 (210x297), друкують 14кг через 1 інтервал. Поля: верхнє і нижнє - 20 мм, праве - 10 мм, ліве - 25 мм. Всі ілюстрації, таблиці і формули нумерують арабськими цифрами порядковою нумерацією в межах розділу. Нумерація складається з номера розділу і порядкового номера ілюстрації (таблиці, формули), відокремлених крапкою (наприклад, 3.2 - другий рисунок третього розділу). Номер і назву ілюстрації розміщують під ілюстрацією: Рис. 3.2. Назва рисунку. Номер і назву таблиці розміщують над таблицею. Слово Таблиця вказують один раз зліва над першою частиною таблиці, над іншими частинами тієї самої таблиці, розміщеної на наступних сторінках, пишуть </w:t>
      </w:r>
      <w:r w:rsidRPr="00233DB4">
        <w:rPr>
          <w:i/>
          <w:iCs/>
          <w:sz w:val="24"/>
          <w:szCs w:val="24"/>
        </w:rPr>
        <w:t xml:space="preserve">Продовження табл. </w:t>
      </w:r>
      <w:r w:rsidRPr="00233DB4">
        <w:rPr>
          <w:sz w:val="24"/>
          <w:szCs w:val="24"/>
        </w:rPr>
        <w:t>із зазначенням номера таблиці. Заголовки граф таблиці починаються з великої літери, а підзаголовки - з малої, якщо вони складають одне речення із заголовком. Підзаголовки, що мають самостійне значення, пишуть з великої літери. Заголовки і підзаголовки граф указують в однині. На всі ілюстрації і таблиці, наведені в розділі, мають бути посилання в текстовій частині. Переліки можуть бути наведені всередині пунктів або підпунктів. Перед кожною позицією переліку слід ставити малу літеру української абетки з дужкою (другий рівень деталізації). Переліки першого рівня деталізації друкують малими літерами з абзацного відступу. Другого рівня - з відступом відносно місця розташування переліків першого рівня. У тексті не дозволяється скорочувати слова, за винятком загальноприйнятих. Необхідно давати розшифровку означень у формулах і вказувати їх одиниці виміру. Список використаних джерел оформлюють згідно вимог ВАК до оформлення наукових робіт. В курсовій роботі повинні бути посилання на кожне використане джерело зі списку у формі [номер використаного джерела у списку, с. номер сторінки]. Список використаних джерел формується по мірі згадування у тексті курсової роботи. Додатки слід розміщувати в кінці роботи і позначати послідовно великими літерами української абетки, наприклад, «Додаток А», «Додаток Б» тощо. Додатки повинні мати спільну з рештою матеріалу наскрізну нумерацію сторінок. До захисту курсову роботу слід подавати зброшурованою і підшитою в окремій папці.</w:t>
      </w:r>
    </w:p>
    <w:p w14:paraId="287DFB6F" w14:textId="77777777" w:rsidR="00233DB4" w:rsidRPr="00233DB4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Курсова робота (виконується тільки українською мовою, для іноземців – за бажанням, російською) складається з таких частин: </w:t>
      </w:r>
    </w:p>
    <w:p w14:paraId="042392BE" w14:textId="77777777" w:rsidR="00233DB4" w:rsidRPr="00233DB4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1) титульний аркуш; </w:t>
      </w:r>
    </w:p>
    <w:p w14:paraId="63C12617" w14:textId="77777777" w:rsidR="00233DB4" w:rsidRPr="00233DB4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2) завдання на курсову роботу (обґрунтування вибору теми для аналізу); </w:t>
      </w:r>
    </w:p>
    <w:p w14:paraId="03DF1A80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DB4">
        <w:rPr>
          <w:sz w:val="24"/>
          <w:szCs w:val="24"/>
        </w:rPr>
        <w:t xml:space="preserve">3) анотація (реферат) (виконується українською та іноземною мовами); лаконічно вказати: </w:t>
      </w:r>
      <w:r w:rsidRPr="007C5CF5">
        <w:rPr>
          <w:sz w:val="24"/>
          <w:szCs w:val="24"/>
        </w:rPr>
        <w:t xml:space="preserve">зміст роботи, обґрунтування та розрахунки, обсяг роботи в аркушах, кількість рисунків, таблиць, використаної літератури. Анотація виконується на окремому стандартному аркуші; </w:t>
      </w:r>
    </w:p>
    <w:p w14:paraId="21084152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4) зміст (виконується на окремому стандартному аркуші); </w:t>
      </w:r>
    </w:p>
    <w:p w14:paraId="54BEAFB1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5) вступ (одна сторінка): сформулювати значення теми, коротко охарактеризувати об’єкт дослідження, зазначити мету курсової роботи; </w:t>
      </w:r>
    </w:p>
    <w:p w14:paraId="32670F64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6) загальна характеристика об’єкта дослідження ;</w:t>
      </w:r>
    </w:p>
    <w:p w14:paraId="36C62CFF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7) економічний аналіз досвіду країн ЄС: (проводиться порівняльний аналіз обраного об’єкта та цих процесів в Україні);</w:t>
      </w:r>
    </w:p>
    <w:p w14:paraId="6BB8F8EB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8) характеристика та аналіз міжнародних організацій та установ, що працюють в обраній сфері;</w:t>
      </w:r>
    </w:p>
    <w:p w14:paraId="323237BF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9) прогнозування інтеграційного розвитку в певній галузі (на період до 3-х років);</w:t>
      </w:r>
    </w:p>
    <w:p w14:paraId="4B917546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10) стратегія розвитку для України (розробляється стратегія розвитку обраного об’єкта); </w:t>
      </w:r>
    </w:p>
    <w:p w14:paraId="264CE4EF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11) висновки (окрема одна сторінка): навести отримані результати, одержані у відповідних розділах курсової роботи, з зазначенням розрахованих показників;</w:t>
      </w:r>
    </w:p>
    <w:p w14:paraId="6EF76AE1" w14:textId="77777777" w:rsidR="00233DB4" w:rsidRPr="007C5CF5" w:rsidRDefault="00233DB4" w:rsidP="00233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lastRenderedPageBreak/>
        <w:t>9) список літератури: подати всі використані в курсовій роботі літературні джерела, кожне джерело оформлювати з усіма характеристиками, необхідними для його пошуку, на кожну позицію списку літератури обов’язково має бути посилання в курсовій роботі.</w:t>
      </w:r>
    </w:p>
    <w:p w14:paraId="10D5D0E2" w14:textId="77777777" w:rsidR="00233DB4" w:rsidRPr="007C5CF5" w:rsidRDefault="00233DB4" w:rsidP="00220C11">
      <w:pPr>
        <w:spacing w:line="240" w:lineRule="auto"/>
        <w:ind w:firstLine="284"/>
        <w:jc w:val="both"/>
        <w:rPr>
          <w:sz w:val="24"/>
          <w:szCs w:val="24"/>
        </w:rPr>
      </w:pPr>
    </w:p>
    <w:p w14:paraId="46AE5122" w14:textId="3262A6D1" w:rsidR="0004349D" w:rsidRPr="007C5CF5" w:rsidRDefault="00220C11" w:rsidP="007B73B2">
      <w:pPr>
        <w:tabs>
          <w:tab w:val="left" w:pos="284"/>
        </w:tabs>
        <w:spacing w:line="240" w:lineRule="auto"/>
        <w:jc w:val="both"/>
        <w:rPr>
          <w:sz w:val="24"/>
          <w:szCs w:val="24"/>
          <w:lang w:val="ru-RU"/>
        </w:rPr>
      </w:pPr>
      <w:r w:rsidRPr="007C5CF5">
        <w:rPr>
          <w:sz w:val="24"/>
          <w:szCs w:val="24"/>
        </w:rPr>
        <w:tab/>
      </w:r>
    </w:p>
    <w:p w14:paraId="5B2A6BED" w14:textId="1FB05BB1" w:rsidR="0099198A" w:rsidRPr="007C5CF5" w:rsidRDefault="0099198A" w:rsidP="00F354DB">
      <w:pPr>
        <w:keepNext/>
        <w:jc w:val="center"/>
        <w:rPr>
          <w:b/>
          <w:bCs/>
          <w:sz w:val="24"/>
          <w:szCs w:val="24"/>
        </w:rPr>
      </w:pPr>
    </w:p>
    <w:p w14:paraId="7410CD05" w14:textId="28FB0343" w:rsidR="00C075C3" w:rsidRPr="007C5CF5" w:rsidRDefault="00C075C3" w:rsidP="008869B8">
      <w:pPr>
        <w:ind w:firstLine="709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.</w:t>
      </w:r>
    </w:p>
    <w:p w14:paraId="06919417" w14:textId="77777777" w:rsidR="00C075C3" w:rsidRPr="007C5CF5" w:rsidRDefault="00C075C3" w:rsidP="008869B8">
      <w:pPr>
        <w:rPr>
          <w:sz w:val="24"/>
          <w:szCs w:val="24"/>
        </w:rPr>
      </w:pPr>
    </w:p>
    <w:p w14:paraId="74485E19" w14:textId="77777777" w:rsidR="000E6FED" w:rsidRPr="007C5CF5" w:rsidRDefault="000E6FED" w:rsidP="008869B8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7C5CF5">
        <w:rPr>
          <w:rFonts w:ascii="Times New Roman" w:hAnsi="Times New Roman"/>
          <w:color w:val="auto"/>
        </w:rPr>
        <w:t>Види контролю та рейтингова система оцінювання результатів навчання (РСО)</w:t>
      </w:r>
    </w:p>
    <w:p w14:paraId="514596AD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Рейтингова оцінка з курсової роботи має дві складові. Перша (стартова) характеризує роботу студента з виконання розрахунково-аналітичної частини курсової роботи та її результат – якість пояснювальної записки. Друга складова характеризує якість захисту студентом курсової роботи. </w:t>
      </w:r>
    </w:p>
    <w:p w14:paraId="75B257B7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  <w:r w:rsidRPr="007C5CF5">
        <w:rPr>
          <w:spacing w:val="-2"/>
          <w:sz w:val="24"/>
          <w:szCs w:val="24"/>
        </w:rPr>
        <w:t xml:space="preserve">Розмір шкали першої складової дорівнює 40 балів, а другої складової – </w:t>
      </w:r>
      <w:r w:rsidRPr="007C5CF5">
        <w:rPr>
          <w:sz w:val="24"/>
          <w:szCs w:val="24"/>
        </w:rPr>
        <w:t>60 балів.</w:t>
      </w:r>
    </w:p>
    <w:p w14:paraId="55DC04C2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</w:p>
    <w:p w14:paraId="74AF7B49" w14:textId="77777777" w:rsidR="007C5CF5" w:rsidRPr="007C5CF5" w:rsidRDefault="007C5CF5" w:rsidP="007C5CF5">
      <w:pPr>
        <w:pStyle w:val="af7"/>
        <w:spacing w:line="240" w:lineRule="auto"/>
        <w:jc w:val="center"/>
        <w:rPr>
          <w:b/>
          <w:caps/>
          <w:sz w:val="24"/>
          <w:szCs w:val="24"/>
        </w:rPr>
      </w:pPr>
      <w:r w:rsidRPr="007C5CF5">
        <w:rPr>
          <w:b/>
          <w:sz w:val="24"/>
          <w:szCs w:val="24"/>
        </w:rPr>
        <w:t>Система рейтингових балів</w:t>
      </w:r>
    </w:p>
    <w:p w14:paraId="0B19A68B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1. Стартова складова:</w:t>
      </w:r>
    </w:p>
    <w:p w14:paraId="7216E242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своєчасність виконання курсової роботи – 5-3 балів;</w:t>
      </w:r>
    </w:p>
    <w:p w14:paraId="72F2EDEB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економічне обґрунтування </w:t>
      </w:r>
      <w:r w:rsidRPr="007C5CF5">
        <w:rPr>
          <w:spacing w:val="-2"/>
          <w:sz w:val="24"/>
          <w:szCs w:val="24"/>
        </w:rPr>
        <w:t xml:space="preserve">зроблених </w:t>
      </w:r>
      <w:r w:rsidRPr="007C5CF5">
        <w:rPr>
          <w:sz w:val="24"/>
          <w:szCs w:val="24"/>
        </w:rPr>
        <w:t>висновків та рекомендацій – 12-7 балів;</w:t>
      </w:r>
    </w:p>
    <w:p w14:paraId="6C9E3898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правильність застосування механізмів та методів аналізу і розрахунку – 10-6 балів;</w:t>
      </w:r>
    </w:p>
    <w:p w14:paraId="0CEE1289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якість оформлення, виконання вимог нормативних документів – 6-4 балів;</w:t>
      </w:r>
    </w:p>
    <w:p w14:paraId="2449DA3A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якість графічного матеріалу і дотримання вимог стандартів – 7-4 балів.</w:t>
      </w:r>
    </w:p>
    <w:p w14:paraId="4045AF59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</w:p>
    <w:p w14:paraId="4C64BFB9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2. Складова захисту курсової роботи:</w:t>
      </w:r>
    </w:p>
    <w:p w14:paraId="501C069B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pacing w:val="-2"/>
          <w:sz w:val="24"/>
          <w:szCs w:val="24"/>
        </w:rPr>
      </w:pPr>
      <w:r w:rsidRPr="007C5CF5">
        <w:rPr>
          <w:spacing w:val="-2"/>
          <w:sz w:val="24"/>
          <w:szCs w:val="24"/>
        </w:rPr>
        <w:t>якість доповіді – 10-6 балів;</w:t>
      </w:r>
    </w:p>
    <w:p w14:paraId="5E363F73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pacing w:val="-2"/>
          <w:sz w:val="24"/>
          <w:szCs w:val="24"/>
        </w:rPr>
      </w:pPr>
      <w:r w:rsidRPr="007C5CF5">
        <w:rPr>
          <w:spacing w:val="-2"/>
          <w:sz w:val="24"/>
          <w:szCs w:val="24"/>
        </w:rPr>
        <w:t>ступінь володіння матеріалом – 15-9 балів;</w:t>
      </w:r>
    </w:p>
    <w:p w14:paraId="622D0221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pacing w:val="-2"/>
          <w:sz w:val="24"/>
          <w:szCs w:val="24"/>
        </w:rPr>
      </w:pPr>
      <w:r w:rsidRPr="007C5CF5">
        <w:rPr>
          <w:spacing w:val="-2"/>
          <w:sz w:val="24"/>
          <w:szCs w:val="24"/>
        </w:rPr>
        <w:t xml:space="preserve">ступінь обґрунтування зроблених </w:t>
      </w:r>
      <w:r w:rsidRPr="007C5CF5">
        <w:rPr>
          <w:sz w:val="24"/>
          <w:szCs w:val="24"/>
        </w:rPr>
        <w:t xml:space="preserve">висновків та рекомендацій </w:t>
      </w:r>
      <w:r w:rsidRPr="007C5CF5">
        <w:rPr>
          <w:spacing w:val="-2"/>
          <w:sz w:val="24"/>
          <w:szCs w:val="24"/>
        </w:rPr>
        <w:t>– 20-12 балів;</w:t>
      </w:r>
    </w:p>
    <w:p w14:paraId="73B7A6A5" w14:textId="77777777" w:rsidR="007C5CF5" w:rsidRPr="007C5CF5" w:rsidRDefault="007C5CF5" w:rsidP="007C5CF5">
      <w:pPr>
        <w:numPr>
          <w:ilvl w:val="2"/>
          <w:numId w:val="33"/>
        </w:numPr>
        <w:tabs>
          <w:tab w:val="clear" w:pos="360"/>
          <w:tab w:val="num" w:pos="900"/>
        </w:tabs>
        <w:spacing w:line="240" w:lineRule="auto"/>
        <w:ind w:left="900" w:hanging="333"/>
        <w:jc w:val="both"/>
        <w:rPr>
          <w:spacing w:val="-2"/>
          <w:sz w:val="24"/>
          <w:szCs w:val="24"/>
        </w:rPr>
      </w:pPr>
      <w:r w:rsidRPr="007C5CF5">
        <w:rPr>
          <w:spacing w:val="-2"/>
          <w:sz w:val="24"/>
          <w:szCs w:val="24"/>
        </w:rPr>
        <w:t>вміння захищати свою думку – 15-9 балів.</w:t>
      </w:r>
    </w:p>
    <w:p w14:paraId="6780EF0A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Сума балів двох складових переводиться до  залікової оцінки згідно з таблицею:</w:t>
      </w:r>
    </w:p>
    <w:p w14:paraId="585F5070" w14:textId="77777777" w:rsidR="007C5CF5" w:rsidRPr="007C5CF5" w:rsidRDefault="007C5CF5" w:rsidP="007C5CF5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118"/>
      </w:tblGrid>
      <w:tr w:rsidR="007C5CF5" w:rsidRPr="007C5CF5" w14:paraId="22201D9A" w14:textId="77777777" w:rsidTr="00DF48DB">
        <w:tc>
          <w:tcPr>
            <w:tcW w:w="6521" w:type="dxa"/>
            <w:vAlign w:val="center"/>
          </w:tcPr>
          <w:p w14:paraId="5B9DB18D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 xml:space="preserve">Бали </w:t>
            </w:r>
          </w:p>
          <w:p w14:paraId="4BB15865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Стартова складова + складова захисту</w:t>
            </w:r>
          </w:p>
        </w:tc>
        <w:tc>
          <w:tcPr>
            <w:tcW w:w="3118" w:type="dxa"/>
            <w:vAlign w:val="center"/>
          </w:tcPr>
          <w:p w14:paraId="6D99034A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Оцінка</w:t>
            </w:r>
          </w:p>
        </w:tc>
      </w:tr>
      <w:tr w:rsidR="007C5CF5" w:rsidRPr="007C5CF5" w14:paraId="41A2CF50" w14:textId="77777777" w:rsidTr="00DF48DB">
        <w:tc>
          <w:tcPr>
            <w:tcW w:w="6521" w:type="dxa"/>
            <w:vAlign w:val="center"/>
          </w:tcPr>
          <w:p w14:paraId="451C7031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100…95</w:t>
            </w:r>
          </w:p>
        </w:tc>
        <w:tc>
          <w:tcPr>
            <w:tcW w:w="3118" w:type="dxa"/>
            <w:vAlign w:val="center"/>
          </w:tcPr>
          <w:p w14:paraId="6F08DA12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Відмінно</w:t>
            </w:r>
          </w:p>
        </w:tc>
      </w:tr>
      <w:tr w:rsidR="007C5CF5" w:rsidRPr="007C5CF5" w14:paraId="10AEF337" w14:textId="77777777" w:rsidTr="00DF48DB">
        <w:tc>
          <w:tcPr>
            <w:tcW w:w="6521" w:type="dxa"/>
            <w:vAlign w:val="center"/>
          </w:tcPr>
          <w:p w14:paraId="1DF803C3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94…85</w:t>
            </w:r>
          </w:p>
        </w:tc>
        <w:tc>
          <w:tcPr>
            <w:tcW w:w="3118" w:type="dxa"/>
            <w:vAlign w:val="center"/>
          </w:tcPr>
          <w:p w14:paraId="4EB4FF32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Дуже добре</w:t>
            </w:r>
          </w:p>
        </w:tc>
      </w:tr>
      <w:tr w:rsidR="007C5CF5" w:rsidRPr="007C5CF5" w14:paraId="74835587" w14:textId="77777777" w:rsidTr="00DF48DB">
        <w:tc>
          <w:tcPr>
            <w:tcW w:w="6521" w:type="dxa"/>
            <w:vAlign w:val="center"/>
          </w:tcPr>
          <w:p w14:paraId="22B5347D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84…75</w:t>
            </w:r>
          </w:p>
        </w:tc>
        <w:tc>
          <w:tcPr>
            <w:tcW w:w="3118" w:type="dxa"/>
            <w:vAlign w:val="center"/>
          </w:tcPr>
          <w:p w14:paraId="1CAB5908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Добре</w:t>
            </w:r>
          </w:p>
        </w:tc>
      </w:tr>
      <w:tr w:rsidR="007C5CF5" w:rsidRPr="007C5CF5" w14:paraId="2BF42B3A" w14:textId="77777777" w:rsidTr="00DF48DB">
        <w:tc>
          <w:tcPr>
            <w:tcW w:w="6521" w:type="dxa"/>
            <w:vAlign w:val="center"/>
          </w:tcPr>
          <w:p w14:paraId="6D752323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74…65</w:t>
            </w:r>
          </w:p>
        </w:tc>
        <w:tc>
          <w:tcPr>
            <w:tcW w:w="3118" w:type="dxa"/>
            <w:vAlign w:val="center"/>
          </w:tcPr>
          <w:p w14:paraId="41D1E2BC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Задовільно</w:t>
            </w:r>
          </w:p>
        </w:tc>
      </w:tr>
      <w:tr w:rsidR="007C5CF5" w:rsidRPr="007C5CF5" w14:paraId="7404924A" w14:textId="77777777" w:rsidTr="00DF48DB">
        <w:tc>
          <w:tcPr>
            <w:tcW w:w="6521" w:type="dxa"/>
            <w:vAlign w:val="center"/>
          </w:tcPr>
          <w:p w14:paraId="512B1D3F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64…60</w:t>
            </w:r>
          </w:p>
        </w:tc>
        <w:tc>
          <w:tcPr>
            <w:tcW w:w="3118" w:type="dxa"/>
            <w:vAlign w:val="center"/>
          </w:tcPr>
          <w:p w14:paraId="7E0DD72B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Достатньо</w:t>
            </w:r>
          </w:p>
        </w:tc>
      </w:tr>
      <w:tr w:rsidR="007C5CF5" w:rsidRPr="007C5CF5" w14:paraId="0EF79279" w14:textId="77777777" w:rsidTr="00DF48DB">
        <w:tc>
          <w:tcPr>
            <w:tcW w:w="6521" w:type="dxa"/>
            <w:vAlign w:val="center"/>
          </w:tcPr>
          <w:p w14:paraId="6E6D22E2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Менше 60</w:t>
            </w:r>
          </w:p>
        </w:tc>
        <w:tc>
          <w:tcPr>
            <w:tcW w:w="3118" w:type="dxa"/>
            <w:vAlign w:val="center"/>
          </w:tcPr>
          <w:p w14:paraId="6BE017A2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Незадовільно</w:t>
            </w:r>
          </w:p>
        </w:tc>
      </w:tr>
      <w:tr w:rsidR="007C5CF5" w:rsidRPr="007C5CF5" w14:paraId="116D9598" w14:textId="77777777" w:rsidTr="00DF48DB">
        <w:tc>
          <w:tcPr>
            <w:tcW w:w="6521" w:type="dxa"/>
            <w:vAlign w:val="center"/>
          </w:tcPr>
          <w:p w14:paraId="4ABADFBB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Курсовий проект не допущено до захисту</w:t>
            </w:r>
          </w:p>
        </w:tc>
        <w:tc>
          <w:tcPr>
            <w:tcW w:w="3118" w:type="dxa"/>
            <w:vAlign w:val="center"/>
          </w:tcPr>
          <w:p w14:paraId="7E25F67A" w14:textId="77777777" w:rsidR="007C5CF5" w:rsidRPr="007C5CF5" w:rsidRDefault="007C5CF5" w:rsidP="00DF48D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5CF5">
              <w:rPr>
                <w:sz w:val="24"/>
                <w:szCs w:val="24"/>
              </w:rPr>
              <w:t>Не допущено</w:t>
            </w:r>
          </w:p>
        </w:tc>
      </w:tr>
    </w:tbl>
    <w:p w14:paraId="341091A8" w14:textId="77777777" w:rsidR="007C5CF5" w:rsidRPr="008916C3" w:rsidRDefault="007C5CF5" w:rsidP="007C5CF5">
      <w:pPr>
        <w:ind w:firstLine="567"/>
        <w:jc w:val="both"/>
        <w:rPr>
          <w:sz w:val="22"/>
          <w:szCs w:val="22"/>
        </w:rPr>
      </w:pPr>
    </w:p>
    <w:p w14:paraId="0DA24A1F" w14:textId="77777777" w:rsidR="000E6FED" w:rsidRPr="00BE5006" w:rsidRDefault="000E6FED" w:rsidP="008869B8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BE5006">
        <w:rPr>
          <w:rFonts w:ascii="Times New Roman" w:hAnsi="Times New Roman"/>
          <w:color w:val="auto"/>
        </w:rPr>
        <w:t>Додаткова інформація з дисципліни (освітнього компонента)</w:t>
      </w:r>
    </w:p>
    <w:p w14:paraId="3EA18317" w14:textId="77777777" w:rsidR="000E6FED" w:rsidRPr="00BE5006" w:rsidRDefault="000E6FED" w:rsidP="008869B8">
      <w:pPr>
        <w:spacing w:line="240" w:lineRule="auto"/>
        <w:jc w:val="both"/>
        <w:rPr>
          <w:b/>
          <w:bCs/>
          <w:sz w:val="24"/>
          <w:szCs w:val="24"/>
        </w:rPr>
      </w:pPr>
      <w:r w:rsidRPr="00BE5006">
        <w:rPr>
          <w:b/>
          <w:bCs/>
          <w:sz w:val="24"/>
          <w:szCs w:val="24"/>
        </w:rPr>
        <w:t>Робочу програму навчальної дисципліни (силабус):</w:t>
      </w:r>
    </w:p>
    <w:p w14:paraId="43B94775" w14:textId="5CB5C905" w:rsidR="0099198A" w:rsidRPr="00BE5006" w:rsidRDefault="000E6FED" w:rsidP="008869B8">
      <w:pPr>
        <w:spacing w:line="240" w:lineRule="auto"/>
        <w:rPr>
          <w:i/>
          <w:sz w:val="24"/>
          <w:szCs w:val="24"/>
        </w:rPr>
      </w:pPr>
      <w:r w:rsidRPr="00BE5006">
        <w:rPr>
          <w:b/>
          <w:bCs/>
          <w:sz w:val="22"/>
          <w:szCs w:val="22"/>
        </w:rPr>
        <w:t>Складено</w:t>
      </w:r>
      <w:r w:rsidRPr="00BE5006">
        <w:rPr>
          <w:sz w:val="22"/>
          <w:szCs w:val="22"/>
        </w:rPr>
        <w:t xml:space="preserve"> </w:t>
      </w:r>
    </w:p>
    <w:p w14:paraId="6448F505" w14:textId="43A6446B" w:rsidR="0099198A" w:rsidRPr="00BE5006" w:rsidRDefault="0099198A" w:rsidP="008869B8">
      <w:pPr>
        <w:spacing w:line="240" w:lineRule="auto"/>
        <w:rPr>
          <w:i/>
          <w:sz w:val="24"/>
          <w:szCs w:val="24"/>
        </w:rPr>
      </w:pPr>
      <w:r w:rsidRPr="00BE5006">
        <w:rPr>
          <w:i/>
          <w:sz w:val="24"/>
          <w:szCs w:val="24"/>
        </w:rPr>
        <w:t xml:space="preserve">Петренко Катерина Валеріївна, к.е.н., доцент </w:t>
      </w:r>
    </w:p>
    <w:p w14:paraId="02EAD8E3" w14:textId="77777777" w:rsidR="00DA47E1" w:rsidRDefault="00DA47E1" w:rsidP="00DA47E1">
      <w:pPr>
        <w:spacing w:after="120" w:line="24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Ухвалено кафедрою міжнародної економіки (протокол № 11 від 26.05.2021)</w:t>
      </w:r>
    </w:p>
    <w:p w14:paraId="652ACDB4" w14:textId="068F3F88" w:rsidR="007C5CF5" w:rsidRPr="007C5CF5" w:rsidRDefault="00DA47E1" w:rsidP="00DA47E1">
      <w:pPr>
        <w:spacing w:line="240" w:lineRule="auto"/>
        <w:rPr>
          <w:b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Погоджено Методичною комісією факультету менеджменту та маркетингу (протокол № 10 від 15.06.2021</w:t>
      </w:r>
      <w:r w:rsidR="007C5CF5" w:rsidRPr="007C5CF5">
        <w:rPr>
          <w:bCs/>
          <w:sz w:val="24"/>
          <w:szCs w:val="24"/>
        </w:rPr>
        <w:br w:type="page"/>
      </w:r>
    </w:p>
    <w:p w14:paraId="36225539" w14:textId="77777777" w:rsidR="007C5CF5" w:rsidRPr="007C5CF5" w:rsidRDefault="007C5CF5" w:rsidP="007C5CF5">
      <w:pPr>
        <w:widowControl w:val="0"/>
        <w:ind w:left="426"/>
        <w:jc w:val="right"/>
        <w:rPr>
          <w:sz w:val="24"/>
          <w:szCs w:val="24"/>
        </w:rPr>
      </w:pPr>
      <w:r w:rsidRPr="007C5CF5">
        <w:rPr>
          <w:sz w:val="24"/>
          <w:szCs w:val="24"/>
        </w:rPr>
        <w:lastRenderedPageBreak/>
        <w:t>Додаток1.</w:t>
      </w:r>
    </w:p>
    <w:p w14:paraId="5E2C3596" w14:textId="77777777" w:rsidR="007C5CF5" w:rsidRPr="007C5CF5" w:rsidRDefault="007C5CF5" w:rsidP="007C5CF5">
      <w:pPr>
        <w:widowControl w:val="0"/>
        <w:ind w:left="426"/>
        <w:jc w:val="center"/>
        <w:rPr>
          <w:b/>
          <w:sz w:val="24"/>
          <w:szCs w:val="24"/>
        </w:rPr>
      </w:pPr>
      <w:r w:rsidRPr="007C5CF5">
        <w:rPr>
          <w:b/>
          <w:sz w:val="24"/>
          <w:szCs w:val="24"/>
        </w:rPr>
        <w:t>Орієнтовна тематика курсових робіт</w:t>
      </w:r>
    </w:p>
    <w:p w14:paraId="61109913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Аналіз передумов та факторів європейської економічної інтеграції.</w:t>
      </w:r>
    </w:p>
    <w:p w14:paraId="54CD6915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Порівняльний аналіз форм європейської економічної інтеграції.</w:t>
      </w:r>
    </w:p>
    <w:p w14:paraId="67453C25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Тенденції та закономірності інтеграційних процесів в Європі.</w:t>
      </w:r>
    </w:p>
    <w:p w14:paraId="66213866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Проблеми та ефективність внутрішньої економічної політики ЄС.</w:t>
      </w:r>
    </w:p>
    <w:p w14:paraId="237D7C8B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Проблеми та економічні ефекти незбалансованості регіонального розвитку в ЄС.</w:t>
      </w:r>
    </w:p>
    <w:p w14:paraId="201FB205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Доцільність промислової спеціалізації та кооперації країн ЄС.</w:t>
      </w:r>
    </w:p>
    <w:p w14:paraId="7AFD3544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Напрями та результативність промислової політики країн ЄС.</w:t>
      </w:r>
    </w:p>
    <w:p w14:paraId="5EF16E88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Розвиток та закономірності торговельних відносин в рамках ЄС.</w:t>
      </w:r>
    </w:p>
    <w:p w14:paraId="6F2A48EC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Оцінка зовнішньоторговельної політики ЄС.</w:t>
      </w:r>
    </w:p>
    <w:p w14:paraId="443C66B1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Проблеми та ефективність діяльності Центральноєвропейської асоціації вільної торгівлі.</w:t>
      </w:r>
    </w:p>
    <w:p w14:paraId="5C3C6FF0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Проблеми та ефективність діяльності Європейської асоціації вільної торгівлі.</w:t>
      </w:r>
    </w:p>
    <w:p w14:paraId="159F29A6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Механізм та ефективність валютної системи ЄС.</w:t>
      </w:r>
    </w:p>
    <w:p w14:paraId="160D8885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Проблеми та ефективність фінансово-кредитної системи ЄС.</w:t>
      </w:r>
    </w:p>
    <w:p w14:paraId="203B072C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Напрями та ефективність діяльності Європейського банку реконструкції та розвитку.</w:t>
      </w:r>
    </w:p>
    <w:p w14:paraId="138EE6F3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Роль та ефективність діяльності Європейського інвестиційного банку.</w:t>
      </w:r>
    </w:p>
    <w:p w14:paraId="6C3EA216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Оцінка фіскальної політики ЄС.</w:t>
      </w:r>
    </w:p>
    <w:p w14:paraId="39DD0D78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Ефективність соціальної політики ЄС.</w:t>
      </w:r>
    </w:p>
    <w:p w14:paraId="705A8896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Оцінка передумов та наслідків міграції робочої сили в Європі.</w:t>
      </w:r>
    </w:p>
    <w:p w14:paraId="5C36D415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Тенденції міграції висококваліфікованої робочої сили в ЄС.</w:t>
      </w:r>
    </w:p>
    <w:p w14:paraId="3E73118E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Напрями та ефективність європейських енергетичних проектів.</w:t>
      </w:r>
    </w:p>
    <w:p w14:paraId="5F754BF3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Механізм та ефективність спільного енергетичного ринку ЄС.</w:t>
      </w:r>
    </w:p>
    <w:p w14:paraId="31EFA18A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Оцінка потенціалу інтеграції України та ЄС в енергетичній сфері.</w:t>
      </w:r>
    </w:p>
    <w:p w14:paraId="5114F310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Пріоритети та результативність європейської інтеграції в науково-технічній сфері.</w:t>
      </w:r>
    </w:p>
    <w:p w14:paraId="2BBD950A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Результативність інноваційної політики ЄС.</w:t>
      </w:r>
    </w:p>
    <w:p w14:paraId="230B6D83" w14:textId="77777777" w:rsidR="007C5CF5" w:rsidRPr="007C5CF5" w:rsidRDefault="007C5CF5" w:rsidP="007C5CF5">
      <w:pPr>
        <w:numPr>
          <w:ilvl w:val="0"/>
          <w:numId w:val="32"/>
        </w:numPr>
        <w:tabs>
          <w:tab w:val="num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Комерціалізація інтелектуальної власності в ЄС.</w:t>
      </w:r>
    </w:p>
    <w:p w14:paraId="0874FC02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Теоретичні засади політики європейської інтеграції. </w:t>
      </w:r>
    </w:p>
    <w:p w14:paraId="0AF47BCC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Історія європейської інтеграції. </w:t>
      </w:r>
    </w:p>
    <w:p w14:paraId="603DF4E2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Зона вільної торгівлі з ЄС: створення, умови функціонування. </w:t>
      </w:r>
    </w:p>
    <w:p w14:paraId="43E86FA6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Політичні чинники європейської інтеграції.</w:t>
      </w:r>
    </w:p>
    <w:p w14:paraId="470FFC36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Соціальні чинники європейської інтеграції. </w:t>
      </w:r>
    </w:p>
    <w:p w14:paraId="4B4B7357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Країни-донори в Європейському Союзі. </w:t>
      </w:r>
    </w:p>
    <w:p w14:paraId="2894B4A3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Країни-отримувачі допомоги в Європейському Союзі. </w:t>
      </w:r>
    </w:p>
    <w:p w14:paraId="6BE2977F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Культурні чинники євроінтеграції. </w:t>
      </w:r>
    </w:p>
    <w:p w14:paraId="6EDACB82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Детермінанти оптимізації етнонаціональної ідентичності в умовах євроінтеграції. </w:t>
      </w:r>
    </w:p>
    <w:p w14:paraId="5ABE3B7A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Роль громадської думки у процесах євроінтеграції.</w:t>
      </w:r>
    </w:p>
    <w:p w14:paraId="4EFC9DE6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Основні напрямки та механізми підвищення ефективності євроінтеграційної політики. </w:t>
      </w:r>
    </w:p>
    <w:p w14:paraId="4C424D95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Особливості розвитку євроінтеграційних процесів. </w:t>
      </w:r>
    </w:p>
    <w:p w14:paraId="26A71C7B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Право Європейського Союзу. </w:t>
      </w:r>
    </w:p>
    <w:p w14:paraId="73FC5BDE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Європейська Хартія місцевого самоврядування та її вплив на розвиток місцевого самоврядування в Україні. </w:t>
      </w:r>
    </w:p>
    <w:p w14:paraId="335D54E7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Характер права Європейського Союзу. </w:t>
      </w:r>
    </w:p>
    <w:p w14:paraId="1E8EE222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Інституції Європейського Союзу. </w:t>
      </w:r>
    </w:p>
    <w:p w14:paraId="6A85FF60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Європарламент: створення, склад, основні напрямки діяльності. </w:t>
      </w:r>
    </w:p>
    <w:p w14:paraId="31A2FB97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Спільні політики Європейського Союзу. </w:t>
      </w:r>
    </w:p>
    <w:p w14:paraId="549A910B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Роль інституцій ЄС у процесі вироблення та реалізації спільних політик. </w:t>
      </w:r>
    </w:p>
    <w:p w14:paraId="48BB2DE2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Процедури та критерії вступу до ЄС. </w:t>
      </w:r>
    </w:p>
    <w:p w14:paraId="4FDC1D9A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 Досвід переговорів про вступ країн Центральної та Східної Європи до ЄС. </w:t>
      </w:r>
    </w:p>
    <w:p w14:paraId="4A68895E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Україна на шляху до європейської інтеграції. </w:t>
      </w:r>
    </w:p>
    <w:p w14:paraId="276AAE9F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Україна та Європейський Союз: основні напрямки співпраці. </w:t>
      </w:r>
    </w:p>
    <w:p w14:paraId="42B9CA93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Європейська політика сусідства та Україна. </w:t>
      </w:r>
    </w:p>
    <w:p w14:paraId="6C9D47CF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План дій Україна - ЄС: пріоритети та результати співпраці. </w:t>
      </w:r>
    </w:p>
    <w:p w14:paraId="68D8CB4E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Україна та Європейський Союз на шляху до нової базової угоди. </w:t>
      </w:r>
    </w:p>
    <w:p w14:paraId="5FFC59F5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 xml:space="preserve">Східне партнерство — новий формат базової політики ЄС. </w:t>
      </w:r>
    </w:p>
    <w:p w14:paraId="6F13F80C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lastRenderedPageBreak/>
        <w:t>Позиції та інтереси держав-членів у формуванні Східної політики ЄС на початку ХХІ ст.</w:t>
      </w:r>
    </w:p>
    <w:p w14:paraId="6C1FE1B6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Сценарії, проблеми і фактори майбутнього європейської інтеграції України.</w:t>
      </w:r>
    </w:p>
    <w:p w14:paraId="1E22FEFA" w14:textId="77777777" w:rsidR="007C5CF5" w:rsidRPr="007C5CF5" w:rsidRDefault="007C5CF5" w:rsidP="007C5CF5">
      <w:pPr>
        <w:widowControl w:val="0"/>
        <w:numPr>
          <w:ilvl w:val="0"/>
          <w:numId w:val="32"/>
        </w:numPr>
        <w:tabs>
          <w:tab w:val="num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7C5CF5">
        <w:rPr>
          <w:sz w:val="24"/>
          <w:szCs w:val="24"/>
        </w:rPr>
        <w:t>Транскордонне співробітництво у контексті розширення ЄС</w:t>
      </w:r>
    </w:p>
    <w:p w14:paraId="2739EF4B" w14:textId="77777777" w:rsidR="0099198A" w:rsidRPr="00BE5006" w:rsidRDefault="0099198A" w:rsidP="008869B8">
      <w:pPr>
        <w:spacing w:line="240" w:lineRule="auto"/>
        <w:jc w:val="both"/>
        <w:rPr>
          <w:bCs/>
          <w:sz w:val="24"/>
          <w:szCs w:val="24"/>
        </w:rPr>
      </w:pPr>
    </w:p>
    <w:sectPr w:rsidR="0099198A" w:rsidRPr="00BE5006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F0BC6" w14:textId="77777777" w:rsidR="00524E79" w:rsidRDefault="00524E79" w:rsidP="004E0EDF">
      <w:pPr>
        <w:spacing w:line="240" w:lineRule="auto"/>
      </w:pPr>
      <w:r>
        <w:separator/>
      </w:r>
    </w:p>
  </w:endnote>
  <w:endnote w:type="continuationSeparator" w:id="0">
    <w:p w14:paraId="407774AE" w14:textId="77777777" w:rsidR="00524E79" w:rsidRDefault="00524E79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6ABA1" w14:textId="77777777" w:rsidR="00524E79" w:rsidRDefault="00524E79" w:rsidP="004E0EDF">
      <w:pPr>
        <w:spacing w:line="240" w:lineRule="auto"/>
      </w:pPr>
      <w:r>
        <w:separator/>
      </w:r>
    </w:p>
  </w:footnote>
  <w:footnote w:type="continuationSeparator" w:id="0">
    <w:p w14:paraId="758D70B6" w14:textId="77777777" w:rsidR="00524E79" w:rsidRDefault="00524E79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i w:val="0"/>
        <w:lang w:val="uk-UA"/>
      </w:rPr>
    </w:lvl>
  </w:abstractNum>
  <w:abstractNum w:abstractNumId="1">
    <w:nsid w:val="0624551C"/>
    <w:multiLevelType w:val="hybridMultilevel"/>
    <w:tmpl w:val="D87C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0E6"/>
    <w:multiLevelType w:val="hybridMultilevel"/>
    <w:tmpl w:val="041E5D3E"/>
    <w:lvl w:ilvl="0" w:tplc="59C8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7A65"/>
    <w:multiLevelType w:val="hybridMultilevel"/>
    <w:tmpl w:val="22E4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876E3"/>
    <w:multiLevelType w:val="hybridMultilevel"/>
    <w:tmpl w:val="8BFE0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495037"/>
    <w:multiLevelType w:val="hybridMultilevel"/>
    <w:tmpl w:val="64903DE2"/>
    <w:lvl w:ilvl="0" w:tplc="519EAE0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2D1006A0"/>
    <w:multiLevelType w:val="hybridMultilevel"/>
    <w:tmpl w:val="0F7C5B04"/>
    <w:lvl w:ilvl="0" w:tplc="6B2A9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6B33DD8"/>
    <w:multiLevelType w:val="hybridMultilevel"/>
    <w:tmpl w:val="907EB37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A0C43"/>
    <w:multiLevelType w:val="hybridMultilevel"/>
    <w:tmpl w:val="544A2FA4"/>
    <w:lvl w:ilvl="0" w:tplc="6F6274B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4F770C"/>
    <w:multiLevelType w:val="hybridMultilevel"/>
    <w:tmpl w:val="D890995E"/>
    <w:lvl w:ilvl="0" w:tplc="86E0DD28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C28B2"/>
    <w:multiLevelType w:val="hybridMultilevel"/>
    <w:tmpl w:val="CF903E16"/>
    <w:lvl w:ilvl="0" w:tplc="790AD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67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3566B"/>
    <w:multiLevelType w:val="hybridMultilevel"/>
    <w:tmpl w:val="30D83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60161C"/>
    <w:multiLevelType w:val="hybridMultilevel"/>
    <w:tmpl w:val="D1FA11A8"/>
    <w:lvl w:ilvl="0" w:tplc="1DF460A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392CAC"/>
    <w:multiLevelType w:val="hybridMultilevel"/>
    <w:tmpl w:val="F92A5CCE"/>
    <w:lvl w:ilvl="0" w:tplc="6016C1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2247F"/>
    <w:multiLevelType w:val="hybridMultilevel"/>
    <w:tmpl w:val="86ACF8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A0EDD"/>
    <w:multiLevelType w:val="hybridMultilevel"/>
    <w:tmpl w:val="B6F0B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32CD"/>
    <w:multiLevelType w:val="hybridMultilevel"/>
    <w:tmpl w:val="AF586BFE"/>
    <w:lvl w:ilvl="0" w:tplc="6016C1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8289A"/>
    <w:multiLevelType w:val="hybridMultilevel"/>
    <w:tmpl w:val="46D61276"/>
    <w:lvl w:ilvl="0" w:tplc="22684862">
      <w:start w:val="6"/>
      <w:numFmt w:val="bullet"/>
      <w:lvlText w:val="-"/>
      <w:lvlJc w:val="left"/>
      <w:pPr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24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B2B34"/>
    <w:multiLevelType w:val="hybridMultilevel"/>
    <w:tmpl w:val="D87C9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13"/>
  </w:num>
  <w:num w:numId="5">
    <w:abstractNumId w:val="24"/>
  </w:num>
  <w:num w:numId="6">
    <w:abstractNumId w:val="24"/>
  </w:num>
  <w:num w:numId="7">
    <w:abstractNumId w:val="24"/>
  </w:num>
  <w:num w:numId="8">
    <w:abstractNumId w:val="24"/>
    <w:lvlOverride w:ilvl="0">
      <w:startOverride w:val="1"/>
    </w:lvlOverride>
  </w:num>
  <w:num w:numId="9">
    <w:abstractNumId w:val="24"/>
  </w:num>
  <w:num w:numId="10">
    <w:abstractNumId w:val="24"/>
  </w:num>
  <w:num w:numId="11">
    <w:abstractNumId w:val="24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21"/>
  </w:num>
  <w:num w:numId="17">
    <w:abstractNumId w:val="14"/>
  </w:num>
  <w:num w:numId="18">
    <w:abstractNumId w:val="2"/>
  </w:num>
  <w:num w:numId="19">
    <w:abstractNumId w:val="18"/>
  </w:num>
  <w:num w:numId="20">
    <w:abstractNumId w:val="8"/>
  </w:num>
  <w:num w:numId="21">
    <w:abstractNumId w:val="16"/>
  </w:num>
  <w:num w:numId="22">
    <w:abstractNumId w:val="17"/>
  </w:num>
  <w:num w:numId="23">
    <w:abstractNumId w:val="3"/>
  </w:num>
  <w:num w:numId="24">
    <w:abstractNumId w:val="4"/>
  </w:num>
  <w:num w:numId="25">
    <w:abstractNumId w:val="23"/>
  </w:num>
  <w:num w:numId="26">
    <w:abstractNumId w:val="1"/>
  </w:num>
  <w:num w:numId="27">
    <w:abstractNumId w:val="25"/>
  </w:num>
  <w:num w:numId="28">
    <w:abstractNumId w:val="15"/>
  </w:num>
  <w:num w:numId="29">
    <w:abstractNumId w:val="20"/>
  </w:num>
  <w:num w:numId="30">
    <w:abstractNumId w:val="19"/>
  </w:num>
  <w:num w:numId="31">
    <w:abstractNumId w:val="0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4349D"/>
    <w:rsid w:val="000710BB"/>
    <w:rsid w:val="00087AFC"/>
    <w:rsid w:val="000917E7"/>
    <w:rsid w:val="000B7C0E"/>
    <w:rsid w:val="000C40A0"/>
    <w:rsid w:val="000D1F73"/>
    <w:rsid w:val="000E6FED"/>
    <w:rsid w:val="000F01A9"/>
    <w:rsid w:val="001351AF"/>
    <w:rsid w:val="001435BE"/>
    <w:rsid w:val="0016638A"/>
    <w:rsid w:val="001943AA"/>
    <w:rsid w:val="00194DF6"/>
    <w:rsid w:val="001A1395"/>
    <w:rsid w:val="001D56C1"/>
    <w:rsid w:val="001D75FD"/>
    <w:rsid w:val="002036BF"/>
    <w:rsid w:val="00211AA7"/>
    <w:rsid w:val="00220C11"/>
    <w:rsid w:val="00233DB4"/>
    <w:rsid w:val="0023533A"/>
    <w:rsid w:val="0024717A"/>
    <w:rsid w:val="00253BCC"/>
    <w:rsid w:val="00265F6C"/>
    <w:rsid w:val="00270675"/>
    <w:rsid w:val="002C30DC"/>
    <w:rsid w:val="002D21C4"/>
    <w:rsid w:val="00306C33"/>
    <w:rsid w:val="003332B0"/>
    <w:rsid w:val="00340957"/>
    <w:rsid w:val="0035451A"/>
    <w:rsid w:val="00363203"/>
    <w:rsid w:val="00374C4B"/>
    <w:rsid w:val="00392D25"/>
    <w:rsid w:val="003A0022"/>
    <w:rsid w:val="003B4D43"/>
    <w:rsid w:val="003C1370"/>
    <w:rsid w:val="003C70D8"/>
    <w:rsid w:val="003D35CF"/>
    <w:rsid w:val="003F0A41"/>
    <w:rsid w:val="003F52CE"/>
    <w:rsid w:val="0044328F"/>
    <w:rsid w:val="004442EE"/>
    <w:rsid w:val="00447B7C"/>
    <w:rsid w:val="0046632F"/>
    <w:rsid w:val="00476A36"/>
    <w:rsid w:val="00494B8C"/>
    <w:rsid w:val="004A6336"/>
    <w:rsid w:val="004B23F7"/>
    <w:rsid w:val="004C3F8D"/>
    <w:rsid w:val="004D1575"/>
    <w:rsid w:val="004E0EDF"/>
    <w:rsid w:val="004E4415"/>
    <w:rsid w:val="004F3774"/>
    <w:rsid w:val="004F6918"/>
    <w:rsid w:val="004F7C2C"/>
    <w:rsid w:val="005153EC"/>
    <w:rsid w:val="00524E79"/>
    <w:rsid w:val="005251A5"/>
    <w:rsid w:val="00530BFF"/>
    <w:rsid w:val="005413FF"/>
    <w:rsid w:val="00556E26"/>
    <w:rsid w:val="00590047"/>
    <w:rsid w:val="005D764D"/>
    <w:rsid w:val="005F4692"/>
    <w:rsid w:val="00611CF1"/>
    <w:rsid w:val="00643CCA"/>
    <w:rsid w:val="006464A4"/>
    <w:rsid w:val="00651337"/>
    <w:rsid w:val="00666204"/>
    <w:rsid w:val="006757B0"/>
    <w:rsid w:val="006827A8"/>
    <w:rsid w:val="006C5CD7"/>
    <w:rsid w:val="006E65B0"/>
    <w:rsid w:val="006F4219"/>
    <w:rsid w:val="006F5C29"/>
    <w:rsid w:val="00714AB2"/>
    <w:rsid w:val="007244E1"/>
    <w:rsid w:val="00772C47"/>
    <w:rsid w:val="00773010"/>
    <w:rsid w:val="0077700A"/>
    <w:rsid w:val="00784A23"/>
    <w:rsid w:val="00791855"/>
    <w:rsid w:val="007B73B2"/>
    <w:rsid w:val="007C5CF5"/>
    <w:rsid w:val="007D73E2"/>
    <w:rsid w:val="007E180F"/>
    <w:rsid w:val="007E3190"/>
    <w:rsid w:val="007E7F74"/>
    <w:rsid w:val="007F7C45"/>
    <w:rsid w:val="00827AD3"/>
    <w:rsid w:val="00831FF6"/>
    <w:rsid w:val="00832CCE"/>
    <w:rsid w:val="00880FD0"/>
    <w:rsid w:val="008869B8"/>
    <w:rsid w:val="00893A77"/>
    <w:rsid w:val="00894491"/>
    <w:rsid w:val="008A03A1"/>
    <w:rsid w:val="008A4024"/>
    <w:rsid w:val="008B16FE"/>
    <w:rsid w:val="008B22CE"/>
    <w:rsid w:val="008B7D0D"/>
    <w:rsid w:val="008D1B2D"/>
    <w:rsid w:val="00922254"/>
    <w:rsid w:val="00930E42"/>
    <w:rsid w:val="00941384"/>
    <w:rsid w:val="00962C2E"/>
    <w:rsid w:val="0098574A"/>
    <w:rsid w:val="0099198A"/>
    <w:rsid w:val="009B2DDB"/>
    <w:rsid w:val="009E6014"/>
    <w:rsid w:val="009F3F73"/>
    <w:rsid w:val="009F69B9"/>
    <w:rsid w:val="009F751E"/>
    <w:rsid w:val="00A05BD9"/>
    <w:rsid w:val="00A2464E"/>
    <w:rsid w:val="00A2798C"/>
    <w:rsid w:val="00A52B98"/>
    <w:rsid w:val="00A90398"/>
    <w:rsid w:val="00A959D7"/>
    <w:rsid w:val="00AA12FC"/>
    <w:rsid w:val="00AA2CEE"/>
    <w:rsid w:val="00AA6B23"/>
    <w:rsid w:val="00AB05C9"/>
    <w:rsid w:val="00AC16B3"/>
    <w:rsid w:val="00AD3CD2"/>
    <w:rsid w:val="00AD5593"/>
    <w:rsid w:val="00AD6F69"/>
    <w:rsid w:val="00AD715D"/>
    <w:rsid w:val="00AE41A6"/>
    <w:rsid w:val="00B1713B"/>
    <w:rsid w:val="00B20824"/>
    <w:rsid w:val="00B2504E"/>
    <w:rsid w:val="00B3749F"/>
    <w:rsid w:val="00B40317"/>
    <w:rsid w:val="00B47838"/>
    <w:rsid w:val="00BA590A"/>
    <w:rsid w:val="00BC576E"/>
    <w:rsid w:val="00BD07E4"/>
    <w:rsid w:val="00BE5006"/>
    <w:rsid w:val="00BF6C44"/>
    <w:rsid w:val="00C075C3"/>
    <w:rsid w:val="00C15C21"/>
    <w:rsid w:val="00C301EF"/>
    <w:rsid w:val="00C32BA6"/>
    <w:rsid w:val="00C42A21"/>
    <w:rsid w:val="00C55C12"/>
    <w:rsid w:val="00C615D4"/>
    <w:rsid w:val="00C63408"/>
    <w:rsid w:val="00C86651"/>
    <w:rsid w:val="00C912A6"/>
    <w:rsid w:val="00C91746"/>
    <w:rsid w:val="00CA1B9D"/>
    <w:rsid w:val="00CE2029"/>
    <w:rsid w:val="00CE7D74"/>
    <w:rsid w:val="00CF6DE8"/>
    <w:rsid w:val="00D05879"/>
    <w:rsid w:val="00D2172D"/>
    <w:rsid w:val="00D21A3B"/>
    <w:rsid w:val="00D3750D"/>
    <w:rsid w:val="00D41E31"/>
    <w:rsid w:val="00D43550"/>
    <w:rsid w:val="00D525C0"/>
    <w:rsid w:val="00D80448"/>
    <w:rsid w:val="00D82DA7"/>
    <w:rsid w:val="00D92509"/>
    <w:rsid w:val="00DA47E1"/>
    <w:rsid w:val="00DF5C13"/>
    <w:rsid w:val="00E0088D"/>
    <w:rsid w:val="00E06AC5"/>
    <w:rsid w:val="00E17713"/>
    <w:rsid w:val="00E51160"/>
    <w:rsid w:val="00E80E0D"/>
    <w:rsid w:val="00EA04E9"/>
    <w:rsid w:val="00EA0609"/>
    <w:rsid w:val="00EA0EB9"/>
    <w:rsid w:val="00EB4F56"/>
    <w:rsid w:val="00F10FC8"/>
    <w:rsid w:val="00F162DC"/>
    <w:rsid w:val="00F25DB2"/>
    <w:rsid w:val="00F354DB"/>
    <w:rsid w:val="00F51B26"/>
    <w:rsid w:val="00F66986"/>
    <w:rsid w:val="00F677B9"/>
    <w:rsid w:val="00F75345"/>
    <w:rsid w:val="00F77E2B"/>
    <w:rsid w:val="00F94B90"/>
    <w:rsid w:val="00F95D78"/>
    <w:rsid w:val="00FA0D33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298A6708-71F0-428B-BF62-C245DAB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43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програмный"/>
    <w:basedOn w:val="a"/>
    <w:rsid w:val="00CF6DE8"/>
    <w:pPr>
      <w:autoSpaceDE w:val="0"/>
      <w:autoSpaceDN w:val="0"/>
      <w:spacing w:line="240" w:lineRule="auto"/>
      <w:ind w:firstLine="284"/>
      <w:jc w:val="both"/>
    </w:pPr>
    <w:rPr>
      <w:rFonts w:eastAsia="Times New Roman"/>
      <w:lang w:eastAsia="ru-RU"/>
    </w:rPr>
  </w:style>
  <w:style w:type="paragraph" w:customStyle="1" w:styleId="21">
    <w:name w:val="Знак2"/>
    <w:basedOn w:val="a"/>
    <w:rsid w:val="00B2504E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Title"/>
    <w:basedOn w:val="a"/>
    <w:link w:val="af3"/>
    <w:qFormat/>
    <w:rsid w:val="00666204"/>
    <w:pPr>
      <w:spacing w:line="240" w:lineRule="auto"/>
      <w:ind w:firstLine="540"/>
      <w:jc w:val="center"/>
    </w:pPr>
    <w:rPr>
      <w:rFonts w:eastAsia="Times New Roman"/>
      <w:szCs w:val="24"/>
      <w:lang w:val="x-none" w:eastAsia="ru-RU"/>
    </w:rPr>
  </w:style>
  <w:style w:type="character" w:customStyle="1" w:styleId="af3">
    <w:name w:val="Название Знак"/>
    <w:basedOn w:val="a1"/>
    <w:link w:val="af2"/>
    <w:rsid w:val="00666204"/>
    <w:rPr>
      <w:sz w:val="28"/>
      <w:szCs w:val="24"/>
      <w:lang w:val="x-none"/>
    </w:rPr>
  </w:style>
  <w:style w:type="paragraph" w:styleId="af4">
    <w:name w:val="Body Text"/>
    <w:basedOn w:val="a"/>
    <w:link w:val="af5"/>
    <w:uiPriority w:val="99"/>
    <w:unhideWhenUsed/>
    <w:rsid w:val="00666204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5">
    <w:name w:val="Основной текст Знак"/>
    <w:basedOn w:val="a1"/>
    <w:link w:val="af4"/>
    <w:uiPriority w:val="99"/>
    <w:rsid w:val="00666204"/>
    <w:rPr>
      <w:sz w:val="24"/>
      <w:szCs w:val="24"/>
      <w:lang w:val="x-none"/>
    </w:rPr>
  </w:style>
  <w:style w:type="paragraph" w:styleId="af6">
    <w:name w:val="Normal (Web)"/>
    <w:basedOn w:val="a"/>
    <w:rsid w:val="006662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666204"/>
    <w:pPr>
      <w:spacing w:after="120" w:line="240" w:lineRule="auto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1"/>
    <w:link w:val="3"/>
    <w:uiPriority w:val="99"/>
    <w:rsid w:val="00666204"/>
    <w:rPr>
      <w:sz w:val="16"/>
      <w:szCs w:val="16"/>
    </w:rPr>
  </w:style>
  <w:style w:type="paragraph" w:styleId="af7">
    <w:name w:val="Body Text Indent"/>
    <w:basedOn w:val="a"/>
    <w:link w:val="af8"/>
    <w:semiHidden/>
    <w:unhideWhenUsed/>
    <w:rsid w:val="00831FF6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831FF6"/>
    <w:rPr>
      <w:rFonts w:eastAsiaTheme="minorHAnsi"/>
      <w:sz w:val="28"/>
      <w:szCs w:val="28"/>
      <w:lang w:val="uk-UA" w:eastAsia="en-US"/>
    </w:rPr>
  </w:style>
  <w:style w:type="paragraph" w:customStyle="1" w:styleId="ADNote">
    <w:name w:val="AD Note"/>
    <w:autoRedefine/>
    <w:rsid w:val="00831FF6"/>
    <w:pPr>
      <w:ind w:firstLine="709"/>
      <w:jc w:val="both"/>
    </w:pPr>
    <w:rPr>
      <w:sz w:val="24"/>
      <w:lang w:val="uk-UA"/>
    </w:rPr>
  </w:style>
  <w:style w:type="character" w:styleId="af9">
    <w:name w:val="Emphasis"/>
    <w:basedOn w:val="a1"/>
    <w:uiPriority w:val="20"/>
    <w:qFormat/>
    <w:rsid w:val="00AA2CEE"/>
    <w:rPr>
      <w:i/>
      <w:iCs/>
    </w:rPr>
  </w:style>
  <w:style w:type="paragraph" w:customStyle="1" w:styleId="Default">
    <w:name w:val="Default"/>
    <w:rsid w:val="00CE7D7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evel2">
    <w:name w:val="Level 2"/>
    <w:basedOn w:val="a"/>
    <w:next w:val="a"/>
    <w:rsid w:val="00FF571B"/>
    <w:pPr>
      <w:spacing w:before="120" w:after="120" w:line="240" w:lineRule="auto"/>
      <w:ind w:left="851" w:hanging="851"/>
    </w:pPr>
    <w:rPr>
      <w:rFonts w:ascii="Times New Roman CYR" w:eastAsia="Times New Roman" w:hAnsi="Times New Roman CYR"/>
      <w:szCs w:val="20"/>
      <w:lang w:val="ru-RU" w:eastAsia="ru-RU"/>
    </w:rPr>
  </w:style>
  <w:style w:type="character" w:customStyle="1" w:styleId="mw-headline">
    <w:name w:val="mw-headline"/>
    <w:rsid w:val="00194DF6"/>
  </w:style>
  <w:style w:type="character" w:customStyle="1" w:styleId="20">
    <w:name w:val="Заголовок 2 Знак"/>
    <w:basedOn w:val="a1"/>
    <w:link w:val="2"/>
    <w:semiHidden/>
    <w:rsid w:val="004432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da.gov.ua" TargetMode="External"/><Relationship Id="rId18" Type="http://schemas.openxmlformats.org/officeDocument/2006/relationships/hyperlink" Target="http://me.kmu.gov.ua/" TargetMode="External"/><Relationship Id="rId26" Type="http://schemas.openxmlformats.org/officeDocument/2006/relationships/hyperlink" Target="http://www.iccwbo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orld-bank.org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etrenko.kateryna@lll.kpi.ua" TargetMode="External"/><Relationship Id="rId17" Type="http://schemas.openxmlformats.org/officeDocument/2006/relationships/hyperlink" Target="http://www.kmu.gov.ua/" TargetMode="External"/><Relationship Id="rId25" Type="http://schemas.openxmlformats.org/officeDocument/2006/relationships/hyperlink" Target="http://www.unicc.org/unctad" TargetMode="External"/><Relationship Id="rId33" Type="http://schemas.openxmlformats.org/officeDocument/2006/relationships/hyperlink" Target="http://europa.eu.int/en/comm/eurostat/serven/par6/6som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da.gov.ua/" TargetMode="External"/><Relationship Id="rId20" Type="http://schemas.openxmlformats.org/officeDocument/2006/relationships/hyperlink" Target="http://www.nbuv.gov.ua/" TargetMode="External"/><Relationship Id="rId29" Type="http://schemas.openxmlformats.org/officeDocument/2006/relationships/hyperlink" Target="http://www.ii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wto.org/" TargetMode="External"/><Relationship Id="rId32" Type="http://schemas.openxmlformats.org/officeDocument/2006/relationships/hyperlink" Target="http://www.nafta.org/" TargetMode="Externa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www.europa.ev.int/" TargetMode="External"/><Relationship Id="rId23" Type="http://schemas.openxmlformats.org/officeDocument/2006/relationships/hyperlink" Target="http://www.ilo.org/" TargetMode="External"/><Relationship Id="rId28" Type="http://schemas.openxmlformats.org/officeDocument/2006/relationships/hyperlink" Target="http://www.imf.org/" TargetMode="External"/><Relationship Id="rId36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://www.minfin.gov.ua/" TargetMode="External"/><Relationship Id="rId31" Type="http://schemas.openxmlformats.org/officeDocument/2006/relationships/hyperlink" Target="http://www.aseansec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uropa.ev.int" TargetMode="External"/><Relationship Id="rId22" Type="http://schemas.openxmlformats.org/officeDocument/2006/relationships/hyperlink" Target="http://www.ita.doc.gov/" TargetMode="External"/><Relationship Id="rId27" Type="http://schemas.openxmlformats.org/officeDocument/2006/relationships/hyperlink" Target="http://www.oecd.org/" TargetMode="External"/><Relationship Id="rId30" Type="http://schemas.openxmlformats.org/officeDocument/2006/relationships/hyperlink" Target="http://www.european-patent-office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AD3A8-08BA-4EC3-9180-A266B7CC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14127</Words>
  <Characters>8053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3</cp:revision>
  <cp:lastPrinted>2020-09-07T13:50:00Z</cp:lastPrinted>
  <dcterms:created xsi:type="dcterms:W3CDTF">2021-09-15T10:15:00Z</dcterms:created>
  <dcterms:modified xsi:type="dcterms:W3CDTF">2021-09-15T12:35:00Z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